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417830</wp:posOffset>
                </wp:positionV>
                <wp:extent cx="689165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9165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2.9pt;width:542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417830</wp:posOffset>
                </wp:positionV>
                <wp:extent cx="6797040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9704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2.9pt;width:535.2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90372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85.2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916940</wp:posOffset>
                </wp:positionV>
                <wp:extent cx="690372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2.2pt" to="585.2pt,72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1791970</wp:posOffset>
                </wp:positionV>
                <wp:extent cx="690372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1.1pt" to="585.2pt,141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3177540</wp:posOffset>
                </wp:positionV>
                <wp:extent cx="690372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50.2pt" to="585.2pt,250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4376420</wp:posOffset>
                </wp:positionV>
                <wp:extent cx="69037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44.6pt" to="585.2pt,344.6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77316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73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23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411480</wp:posOffset>
                </wp:positionV>
                <wp:extent cx="0" cy="877316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73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pt,32.4pt" to="585pt,723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Kontrakt Terminowy Na Indeksy Krótkie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89102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102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42.6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30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Kontrakty terminowe na indeks amerykański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przekazuje niniejszy dokument na podstawie Rozporządzenia UE nr 1286/2014 dla kontraktów terminowych na indeksy.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indeksy są notowane i znajdują się w obrocie na niektórych giełdach kontraktów terminowych w USA, które są wyznaczonymi rynkami kontraktów regulowanymi przez amerykańską Komisję ds. Obrotu Kontraktami Terminowymi na Towary ("CFTC") i mogą być wspólnie regulowane jako krajowa giełda papierów wartościowych przez amerykańską Komisję Papierów Wartościowych i Giełd ("SEC"), a także są rozliczane i rozliczane przez OCC, agencję rozliczeniową zarejestrowaną w SEC i organizację rozliczającą instrumenty pochodne zarejestrowaną w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giełd kontraktów terminowych, inwestorzy mogą znaleźć na stronie internetowej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prowadzić obrotu kontraktami terminowymi na indeksy, dopóki nie zapoznają się z niniejszym dokumentem i wszelkimi dodatkowymi informacjami ujawnianymi przez ich brokera, których istotą może być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Oświadczenie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National Futures Association ("NFA") w sprawie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ujawniania ryzyka w odniesieniu do kontraktów terminowych na papiery wartościowe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https://www.nfa.futures.org/investors/investor-resources/files/security-futures-disclosure.pdf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oraz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Jednolite kontrakty terminowe i opcje w zakresie ujawniania ryzyka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Stowarzyszenia Branży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000000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Ujawnienia w niniejszym dokumencie należy interpretować w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sposób spójny z tymi ujawnieniami.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23495</wp:posOffset>
                </wp:positionV>
                <wp:extent cx="6891020" cy="479742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1020" cy="479742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85pt;width:542.6pt;height:377.7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 terminowy na indeksy to umowa między dwiema stronami dotycząca kupna lub sprzedaży określonego indeksu bazowego po określonej cenie w dacie przyszłej.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Indeks jest miarą cen lub innych atrybutów grupy papierów wartościowych lub innych podstawowych udziałów.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Na przykład indeks może być zaprojektowany tak, aby był reprezentatywny dla cen grupy kapitałowych papierów wartościowych lub aby mierzył przewidywaną zmienność indeksu.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Indeksy różnią się w sposobie ich obliczania.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Osoba, która sprzedaje kontrakt terminowy na indeks, zawiera umowę sprzedaży indeksu bazowego i jest uważana za "krótką" umowę.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indeks bazowy ma zatem charakter pośredni, ponieważ wartość przyszłego indeksu bazowego wywodzi się z wartości indeksu bazowego, a nie stanowi jego wartości.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zapadalności kontraktów terminowych na indeksy różnią się.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przyszłości.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giełda kontraktów terminowych może jednostronnie zmienić warunki kontraktu terminowego lub rozwiązać kontrakt.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Niektóre przypadki, takie jak zmiana składu lub wyliczenie indeksu, mogą skutkować zmianą warunków kontraktu terminowego na indeks zgodnie z regułami OCC, które mogą różnić się od metodologii stosowanej na europejskich rynkach opcji.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 terminowy na indeksy krótkie to umowa sprzedaży indeksu bazowego po z góry określonej cenie w określonym terminie w przyszłości.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Sprzedający zazwyczaj krótko przedstawia kontrakt terminowy na długi indeks, oczekując, że cena indeksu bazowego spadnie o termin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Sprzedający osiągnie zysk brutto, jeżeli wartość indeksu bazowego zmniejszy się do momentu zamknięcia indeksu w przyszłości i osiągnie stratę brutto, jeżeli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ma zalecanego okresu utrzymywania kontraktów terminowych na indeksy.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i sprzedający mogą odnosić zyski lub straty w dowolnym momencie, do terminu zapadalności przyszłości włącznie.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Podczas gdy kontrakt terminowy typu future na indeks ma z góry określony termin zapadalności, otwarta pozycja może zostać zamknięta poprzez zawarcie transakcji kompensacyjnej przed terminem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indeksy, które nie są zamknięte przed terminem zapadalności, muszą być rozliczane zgodnie z warunkami kontraktu, co wymaga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Pozycje w kontraktach terminowych na indeksy, które są otwarte na koniec ostatniego dnia handlowego, są rozliczane w formie ostatecznej płatności gotówkowej opartej na ostatecznym kursie rozliczeniowym indeksu bazowego.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przyszłego indeksu obejmują wartość indeksu bazowego oraz jego podatność na wahania cen (zmienność).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438785</wp:posOffset>
                </wp:positionV>
                <wp:extent cx="690308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34.55pt" to="538.2pt,34.5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660"/>
          </w:cols>
          <w:pgMar w:left="940" w:top="627" w:right="64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417830</wp:posOffset>
                </wp:positionV>
                <wp:extent cx="6891655" cy="87757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91655" cy="877570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3" o:spid="_x0000_s1038" style="position:absolute;margin-left:42.1pt;margin-top:32.9pt;width:542.65pt;height:6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BDD6EE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90372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85.2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618490</wp:posOffset>
                </wp:positionH>
                <wp:positionV relativeFrom="page">
                  <wp:posOffset>7061835</wp:posOffset>
                </wp:positionV>
                <wp:extent cx="681355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35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7pt,556.05pt" to="585.2pt,556.0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624840</wp:posOffset>
                </wp:positionH>
                <wp:positionV relativeFrom="page">
                  <wp:posOffset>7056120</wp:posOffset>
                </wp:positionV>
                <wp:extent cx="0" cy="159258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592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2pt,555.6pt" to="49.2pt,681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3825240</wp:posOffset>
                </wp:positionH>
                <wp:positionV relativeFrom="page">
                  <wp:posOffset>7056120</wp:posOffset>
                </wp:positionV>
                <wp:extent cx="0" cy="159258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592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1.2pt,555.6pt" to="301.2pt,681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5652135</wp:posOffset>
                </wp:positionH>
                <wp:positionV relativeFrom="page">
                  <wp:posOffset>7933690</wp:posOffset>
                </wp:positionV>
                <wp:extent cx="1779905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799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05pt,624.7pt" to="585.2pt,624.7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5658485</wp:posOffset>
                </wp:positionH>
                <wp:positionV relativeFrom="page">
                  <wp:posOffset>7056120</wp:posOffset>
                </wp:positionV>
                <wp:extent cx="0" cy="159258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592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55pt,555.6pt" to="445.55pt,681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618490</wp:posOffset>
                </wp:positionH>
                <wp:positionV relativeFrom="page">
                  <wp:posOffset>8642350</wp:posOffset>
                </wp:positionV>
                <wp:extent cx="6813550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35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7pt,680.5pt" to="585.2pt,680.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1297940</wp:posOffset>
                </wp:positionV>
                <wp:extent cx="690372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02.2pt" to="585.2pt,102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92556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25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35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411480</wp:posOffset>
                </wp:positionV>
                <wp:extent cx="0" cy="892556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25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pt,32.4pt" to="585pt,735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60"/>
        <w:spacing w:after="0" w:line="22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określonego rodzaju inwestorów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indeksy nie są odpowiednie dla wszystkich inwestorów i są przeznaczone wyłącznie dla inwestorów, którzy dobrze rozumieją produkt i mogą ponosić potencjalne straty z nim związane oraz związaną z nim strategię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91389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91389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6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 lub więcej.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6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kontraktu terminowego na indeks krótki zależy od jego warunków, ale może się wiązać z następującymi czynnikami: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indeksy handlowe wiążą się z ryzykiem i mogą skutkować potencjalnie nieograniczonymi stratami, które są większe niż kwota zdeponowana jako depozyt początkowy.</w:t>
      </w:r>
    </w:p>
    <w:p>
      <w:pPr>
        <w:spacing w:after="0" w:line="78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indeksy to produkty lewarowane.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Niewielkie zmiany cen w przyszłości mogą skutkować dużymi zyskami lub stratami.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ruchy na rynkach kontraktów terminowych lub indeksu bazowego obniżają wartość Twoich pozycji, możesz być natychmiast zobowiązany do złożenia dodatkowego depozytu zabezpieczającego, a Twoja pozycja może zostać przymusowo upłynniona ze stratą.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4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obrót na giełdzie stanie się niedostępny, inwestorzy mogą nie być w stanie zamknąć w odpowiednim czasie pozycji terminowej na indeks.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Mogą zaistnieć sytuacje, w których ceny kontraktów terminowych nie będą utrzymywać zwyczajowych lub oczekiwanych relacji z cenami bazowych lub powiązanych z nimi udziałów.</w:t>
      </w:r>
    </w:p>
    <w:p>
      <w:pPr>
        <w:spacing w:after="0" w:line="1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2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6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obrotem lub realizacją kontraktów terminowych na indeksy będą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320"/>
        <w:spacing w:after="0" w:line="20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Dolary amerykańskie, a co za tym idzie,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indeksowej pozycji terminowej.)</w:t>
      </w:r>
    </w:p>
    <w:p>
      <w:pPr>
        <w:sectPr>
          <w:pgSz w:w="12240" w:h="15840" w:orient="portrait"/>
          <w:cols w:equalWidth="0" w:num="1">
            <w:col w:w="10660"/>
          </w:cols>
          <w:pgMar w:left="940" w:top="635" w:right="640" w:bottom="604" w:gutter="0" w:footer="0" w:header="0"/>
        </w:sectPr>
      </w:pPr>
    </w:p>
    <w:p>
      <w:pPr>
        <w:spacing w:after="0" w:line="1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ind w:righ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1000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ind w:righ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500</w:t>
      </w:r>
    </w:p>
    <w:p>
      <w:pPr>
        <w:spacing w:after="0" w:line="80" w:lineRule="exact"/>
        <w:rPr>
          <w:sz w:val="20"/>
          <w:szCs w:val="20"/>
          <w:color w:val="auto"/>
        </w:rPr>
      </w:pPr>
    </w:p>
    <w:tbl>
      <w:tblPr>
        <w:tblLayout w:type="fixed"/>
        <w:tblInd w:w="2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200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5"/>
              </w:rPr>
              <w:t xml:space="preserve">P/L</w:t>
            </w:r>
          </w:p>
        </w:tc>
        <w:tc>
          <w:tcPr>
            <w:tcW w:w="2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right"/>
        <w:ind w:righ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-500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-1000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pozycji krótkich kontraktów terminowych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-568325</wp:posOffset>
            </wp:positionH>
            <wp:positionV relativeFrom="paragraph">
              <wp:posOffset>22860</wp:posOffset>
            </wp:positionV>
            <wp:extent cx="2475230" cy="77597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Naprężony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55 USD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4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sprzedającego (krótki) - 500 USD</w:t>
      </w:r>
    </w:p>
    <w:p>
      <w:pPr>
        <w:spacing w:after="0" w:line="9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3"/>
        </w:trPr>
        <w:tc>
          <w:tcPr>
            <w:tcW w:w="1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 xmlns:w="http://schemas.openxmlformats.org/wordprocessingml/2006/main">
              <w:rPr>
                <w:rFonts w:ascii="Symbol" w:cs="Symbol" w:eastAsia="Symbol" w:hAnsi="Symbol"/>
                <w:sz w:val="16"/>
                <w:szCs w:val="16"/>
                <w:color w:val="auto"/>
              </w:rPr>
              <w:t>·</w:t>
            </w: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 Korzystny dla kupującego (długi)</w:t>
            </w:r>
          </w:p>
        </w:tc>
        <w:tc>
          <w:tcPr>
            <w:tcW w:w="5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+ 500 $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49 USD</w:t>
      </w:r>
    </w:p>
    <w:p>
      <w:pPr>
        <w:spacing w:after="0" w:line="9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1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sprzedającego (krótki)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+ 100 $</w:t>
      </w:r>
    </w:p>
    <w:p>
      <w:pPr xmlns:w="http://schemas.openxmlformats.org/wordprocessingml/2006/main">
        <w:ind w:left="280" w:hanging="137"/>
        <w:spacing w:after="0" w:line="224" w:lineRule="auto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kupującego (długi) - $100</w:t>
      </w: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4">
            <w:col w:w="940" w:space="720"/>
            <w:col w:w="2820" w:space="720"/>
            <w:col w:w="2620" w:space="260"/>
            <w:col w:w="2580"/>
          </w:cols>
          <w:pgMar w:left="940" w:top="635" w:right="640" w:bottom="604" w:gutter="0" w:footer="0" w:header="0"/>
          <w:type w:val="continuous"/>
        </w:sectPr>
      </w:pP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40"/>
        <w:spacing w:after="0"/>
        <w:tabs>
          <w:tab w:leader="none" w:pos="1580" w:val="left"/>
          <w:tab w:leader="none" w:pos="2560" w:val="left"/>
          <w:tab w:leader="none" w:pos="3520" w:val="left"/>
          <w:tab w:leader="none" w:pos="45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45 $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50 $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55 $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60 $</w:t>
      </w:r>
    </w:p>
    <w:p>
      <w:pPr xmlns:w="http://schemas.openxmlformats.org/wordprocessingml/2006/main">
        <w:ind w:left="15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Cena rynkowa bazowego papieru wartościowego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Parzysty punkt przerwania występuje, gdy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5"/>
          <w:szCs w:val="15"/>
          <w:u w:val="single" w:color="auto"/>
          <w:color w:val="auto"/>
        </w:rPr>
        <w:t xml:space="preserve">wcześniej ustalona cena jest równa rzeczywistej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ceny rynkowej.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7360" w:space="720"/>
            <w:col w:w="2580"/>
          </w:cols>
          <w:pgMar w:left="940" w:top="635" w:right="640" w:bottom="604" w:gutter="0" w:footer="0" w:header="0"/>
          <w:type w:val="continuous"/>
        </w:sectPr>
      </w:pPr>
    </w:p>
    <w:p>
      <w:pPr>
        <w:spacing w:after="0" w:line="1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odzyskać.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rozwinie się instrument bazowy, co zależy od przyszłych wyników rynku, które są niepewne 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903085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38.2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660"/>
          </w:cols>
          <w:pgMar w:left="940" w:top="635" w:right="640" w:bottom="604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 w:line="202" w:lineRule="auto"/>
        <w:framePr w:w="1360" w:h="134" w:wrap="auto" w:vAnchor="page" w:hAnchor="page" w:x="6440" w:y="9550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Opłaty za wyniki</w:t>
      </w:r>
    </w:p>
    <w:p>
      <w:pPr xmlns:w="http://schemas.openxmlformats.org/wordprocessingml/2006/main">
        <w:spacing w:after="0" w:line="202" w:lineRule="auto"/>
        <w:framePr w:w="480" w:h="134" w:wrap="auto" w:vAnchor="page" w:hAnchor="page" w:x="7960" w:y="9550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Brak</w:t>
      </w:r>
    </w:p>
    <w:p>
      <w:pPr xmlns:w="http://schemas.openxmlformats.org/wordprocessingml/2006/main">
        <w:spacing w:after="0" w:line="202" w:lineRule="auto"/>
        <w:framePr w:w="380" w:h="134" w:wrap="auto" w:vAnchor="page" w:hAnchor="page" w:x="10120" w:y="9550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NIE DOTYCZY</w:t>
      </w:r>
    </w:p>
    <w:p>
      <w:pPr xmlns:w="http://schemas.openxmlformats.org/wordprocessingml/2006/main">
        <w:spacing w:after="0" w:line="202" w:lineRule="auto"/>
        <w:framePr w:w="3520" w:h="134" w:wrap="auto" w:vAnchor="page" w:hAnchor="page" w:x="6440" w:y="9243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uboczne ponoszone na określonych warunkach</w:t>
      </w:r>
    </w:p>
    <w:p>
      <w:pPr xmlns:w="http://schemas.openxmlformats.org/wordprocessingml/2006/main">
        <w:spacing w:after="0" w:line="202" w:lineRule="auto"/>
        <w:framePr w:w="1340" w:h="134" w:wrap="auto" w:vAnchor="page" w:hAnchor="page" w:x="6440" w:y="8933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transakcyjne</w:t>
      </w:r>
    </w:p>
    <w:p>
      <w:pPr xmlns:w="http://schemas.openxmlformats.org/wordprocessingml/2006/main">
        <w:spacing w:after="0" w:line="192" w:lineRule="auto"/>
        <w:framePr w:w="780" w:h="352" w:wrap="auto" w:vAnchor="page" w:hAnchor="page" w:x="10120" w:y="8715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Zmienna (w toku)</w:t>
      </w:r>
    </w:p>
    <w:p>
      <w:pPr xmlns:w="http://schemas.openxmlformats.org/wordprocessingml/2006/main">
        <w:spacing w:after="0" w:line="208" w:lineRule="auto"/>
        <w:framePr w:w="1980" w:h="573" w:wrap="auto" w:vAnchor="page" w:hAnchor="page" w:x="7960" w:y="8494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Depozyt zabezpieczający (wymagania mogą ulec zmianie i mogą różnić się w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zależności od rodzaju działalności maklerskiej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)</w:t>
      </w:r>
    </w:p>
    <w:p>
      <w:pPr xmlns:w="http://schemas.openxmlformats.org/wordprocessingml/2006/main">
        <w:spacing w:after="0" w:line="202" w:lineRule="auto"/>
        <w:framePr w:w="380" w:h="134" w:wrap="auto" w:vAnchor="page" w:hAnchor="page" w:x="10120" w:y="8254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NIE DOTYCZY</w:t>
      </w:r>
    </w:p>
    <w:p>
      <w:pPr xmlns:w="http://schemas.openxmlformats.org/wordprocessingml/2006/main">
        <w:spacing w:after="0" w:line="192" w:lineRule="auto"/>
        <w:framePr w:w="1900" w:h="352" w:wrap="auto" w:vAnchor="page" w:hAnchor="page" w:x="7960" w:y="8036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Nie ma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opłaty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 za zarządzanie</w:t>
      </w:r>
    </w:p>
    <w:p>
      <w:pPr xmlns:w="http://schemas.openxmlformats.org/wordprocessingml/2006/main">
        <w:spacing w:after="0" w:line="202" w:lineRule="auto"/>
        <w:framePr w:w="1120" w:h="134" w:wrap="auto" w:vAnchor="page" w:hAnchor="page" w:x="6440" w:y="7357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Koszty Bieżące</w:t>
      </w:r>
    </w:p>
    <w:p>
      <w:pPr xmlns:w="http://schemas.openxmlformats.org/wordprocessingml/2006/main">
        <w:spacing w:after="0" w:line="228" w:lineRule="auto"/>
        <w:framePr w:w="1320" w:h="791" w:wrap="auto" w:vAnchor="page" w:hAnchor="page" w:x="6440" w:y="7597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Opłaty za zarządzanie i inne koszty administracyjne lub operacyjne</w:t>
      </w:r>
    </w:p>
    <w:p>
      <w:pPr xmlns:w="http://schemas.openxmlformats.org/wordprocessingml/2006/main">
        <w:spacing w:after="0" w:line="193" w:lineRule="auto"/>
        <w:framePr w:w="1220" w:h="355" w:wrap="auto" w:vAnchor="page" w:hAnchor="page" w:x="10120" w:y="7136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Kwota (w dowolnym momencie)</w:t>
      </w:r>
    </w:p>
    <w:p>
      <w:pPr xmlns:w="http://schemas.openxmlformats.org/wordprocessingml/2006/main">
        <w:spacing w:after="0" w:line="202" w:lineRule="auto"/>
        <w:framePr w:w="1720" w:h="134" w:wrap="auto" w:vAnchor="page" w:hAnchor="page" w:x="7960" w:y="6896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Premium, Komisja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10120" w:y="6896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10120" w:y="6217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20" w:lineRule="auto"/>
        <w:framePr w:w="1260" w:h="573" w:wrap="auto" w:vAnchor="page" w:hAnchor="page" w:x="6440" w:y="5777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wejścia (na transakcję - otwarcie (wejście))</w:t>
      </w:r>
    </w:p>
    <w:p>
      <w:pPr xmlns:w="http://schemas.openxmlformats.org/wordprocessingml/2006/main">
        <w:spacing w:after="0" w:line="220" w:lineRule="auto"/>
        <w:framePr w:w="1120" w:h="573" w:wrap="auto" w:vAnchor="page" w:hAnchor="page" w:x="6440" w:y="6457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wyjścia (na transakcję - zamknięcie (wyjście))</w:t>
      </w:r>
    </w:p>
    <w:p>
      <w:pPr xmlns:w="http://schemas.openxmlformats.org/wordprocessingml/2006/main">
        <w:spacing w:after="0" w:line="202" w:lineRule="auto"/>
        <w:framePr w:w="1240" w:h="134" w:wrap="auto" w:vAnchor="page" w:hAnchor="page" w:x="10120" w:y="5319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Kwota (początkowa)</w:t>
      </w:r>
    </w:p>
    <w:p>
      <w:pPr xmlns:w="http://schemas.openxmlformats.org/wordprocessingml/2006/main">
        <w:spacing w:after="0" w:line="202" w:lineRule="auto"/>
        <w:framePr w:w="2400" w:h="134" w:wrap="auto" w:vAnchor="page" w:hAnchor="page" w:x="6440" w:y="5319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Jednorazowe koszty przy wjeździe lub wyjeździe</w:t>
      </w:r>
    </w:p>
    <w:p>
      <w:pPr xmlns:w="http://schemas.openxmlformats.org/wordprocessingml/2006/main">
        <w:spacing w:after="0" w:line="216" w:lineRule="auto"/>
        <w:framePr w:w="1940" w:h="791" w:wrap="auto" w:vAnchor="page" w:hAnchor="page" w:x="7960" w:y="5559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Premia (ustalana przez kupującego i sprzedającego), prowizja (ustalana przez biuro maklerskie)</w:t>
      </w:r>
    </w:p>
    <w:p>
      <w:pPr xmlns:w="http://schemas.openxmlformats.org/wordprocessingml/2006/main">
        <w:spacing w:after="0" w:line="189" w:lineRule="auto"/>
        <w:framePr w:w="1660" w:h="125" w:wrap="auto" w:vAnchor="page" w:hAnchor="page" w:x="6440" w:y="5057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Struktura kosztów</w:t>
      </w:r>
    </w:p>
    <w:p>
      <w:pPr xmlns:w="http://schemas.openxmlformats.org/wordprocessingml/2006/main">
        <w:spacing w:after="0" w:line="202" w:lineRule="auto"/>
        <w:framePr w:w="1500" w:h="134" w:wrap="auto" w:vAnchor="page" w:hAnchor="page" w:x="6440" w:y="452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Roczny wpływ na koszty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10120" w:y="452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202" w:lineRule="auto"/>
        <w:framePr w:w="880" w:h="134" w:wrap="auto" w:vAnchor="page" w:hAnchor="page" w:x="6440" w:y="4258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ogółem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10120" w:y="4258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189" w:lineRule="auto"/>
        <w:framePr w:w="1280" w:h="125" w:wrap="auto" w:vAnchor="page" w:hAnchor="page" w:x="6440" w:y="3998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W Czasie</w:t>
      </w:r>
    </w:p>
    <w:p>
      <w:pPr xmlns:w="http://schemas.openxmlformats.org/wordprocessingml/2006/main">
        <w:spacing w:after="0" w:line="202" w:lineRule="auto"/>
        <w:framePr w:w="800" w:h="134" w:wrap="auto" w:vAnchor="page" w:hAnchor="page" w:x="10120" w:y="398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Zakończenie pracy</w:t>
      </w:r>
    </w:p>
    <w:p>
      <w:pPr xmlns:w="http://schemas.openxmlformats.org/wordprocessingml/2006/main">
        <w:ind w:left="220" w:right="6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90372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85.2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1102995</wp:posOffset>
                </wp:positionV>
                <wp:extent cx="690372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86.85pt" to="585.2pt,86.8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4049395</wp:posOffset>
                </wp:positionH>
                <wp:positionV relativeFrom="page">
                  <wp:posOffset>2490470</wp:posOffset>
                </wp:positionV>
                <wp:extent cx="2329815" cy="158115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3298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30" o:spid="_x0000_s1055" style="position:absolute;margin-left:318.85pt;margin-top:196.1pt;width:183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4111625</wp:posOffset>
                </wp:positionH>
                <wp:positionV relativeFrom="page">
                  <wp:posOffset>2508250</wp:posOffset>
                </wp:positionV>
                <wp:extent cx="2205355" cy="140335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20535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31" o:spid="_x0000_s1056" style="position:absolute;margin-left:323.75pt;margin-top:197.5pt;width:173.6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6385560</wp:posOffset>
                </wp:positionH>
                <wp:positionV relativeFrom="page">
                  <wp:posOffset>2490470</wp:posOffset>
                </wp:positionV>
                <wp:extent cx="960120" cy="158115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6012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32" o:spid="_x0000_s1057" style="position:absolute;margin-left:502.8pt;margin-top:196.1pt;width:75.6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6454140</wp:posOffset>
                </wp:positionH>
                <wp:positionV relativeFrom="page">
                  <wp:posOffset>2508250</wp:posOffset>
                </wp:positionV>
                <wp:extent cx="828675" cy="140335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2867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33" o:spid="_x0000_s1058" style="position:absolute;margin-left:508.2pt;margin-top:197.5pt;width:65.2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4036695</wp:posOffset>
                </wp:positionH>
                <wp:positionV relativeFrom="page">
                  <wp:posOffset>2482215</wp:posOffset>
                </wp:positionV>
                <wp:extent cx="332105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7.85pt,195.45pt" to="579.35pt,195.4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4036695</wp:posOffset>
                </wp:positionH>
                <wp:positionV relativeFrom="page">
                  <wp:posOffset>2654300</wp:posOffset>
                </wp:positionV>
                <wp:extent cx="3321050" cy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7.85pt,209pt" to="579.35pt,209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4036695</wp:posOffset>
                </wp:positionH>
                <wp:positionV relativeFrom="page">
                  <wp:posOffset>2825115</wp:posOffset>
                </wp:positionV>
                <wp:extent cx="3321050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7.85pt,222.45pt" to="579.35pt,222.4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6386830</wp:posOffset>
                </wp:positionH>
                <wp:positionV relativeFrom="page">
                  <wp:posOffset>2470150</wp:posOffset>
                </wp:positionV>
                <wp:extent cx="0" cy="52705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02.9pt,194.5pt" to="502.9pt,236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7351395</wp:posOffset>
                </wp:positionH>
                <wp:positionV relativeFrom="page">
                  <wp:posOffset>2470150</wp:posOffset>
                </wp:positionV>
                <wp:extent cx="0" cy="52705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8.85pt,194.5pt" to="578.85pt,236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4043045</wp:posOffset>
                </wp:positionH>
                <wp:positionV relativeFrom="page">
                  <wp:posOffset>2470150</wp:posOffset>
                </wp:positionV>
                <wp:extent cx="0" cy="52705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18.35pt,194.5pt" to="318.35pt,236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2473325</wp:posOffset>
                </wp:positionV>
                <wp:extent cx="690372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94.75pt" to="585.2pt,194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6913880</wp:posOffset>
                </wp:positionV>
                <wp:extent cx="690372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44.4pt" to="585.2pt,54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7942580</wp:posOffset>
                </wp:positionV>
                <wp:extent cx="6903720" cy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25.4pt" to="585.2pt,625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828405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28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27.5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411480</wp:posOffset>
                </wp:positionV>
                <wp:extent cx="0" cy="8828405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28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pt,32.4pt" to="585pt,727.5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nie można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ceny wartości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również mieć wpływ na to, ile otrzymasz z powrotem.</w:t>
      </w:r>
    </w:p>
    <w:p>
      <w:pPr>
        <w:spacing w:after="0" w:line="7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OCC są tak skonstruowane, że wyniki na wszystkich indeksowych kontraktach terminowych są pomiędzy OCC a grupą firm maklerskich zwanych członkami rozliczającymi, którzy przenoszą pozycje swoich klientów na ich rachunkach OCC.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są zobowiązani do spełnienia wymogów finansowych UOKiK w zakresie uczestnictwa oraz do ustanowienia zabezpieczenia pozycji swoich klientów.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inwestora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zarządzanie ryzykiem kontrahenta i ułatwianie rozrachunku transakcji terminowych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zobowiązań.</w:t>
      </w:r>
    </w:p>
    <w:p>
      <w:pPr>
        <w:spacing w:after="0" w:line="8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tak, ta osoba</w:t>
      </w:r>
    </w:p>
    <w:p>
      <w:pPr>
        <w:spacing w:after="0" w:line="6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6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przekaże Ci informacje o tych kosztach i ich wpływie na Twoją inwestycję.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Łączne koszty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-149860</wp:posOffset>
                </wp:positionV>
                <wp:extent cx="332105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-11.7999pt" to="543.35pt,-11.7999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17780</wp:posOffset>
                </wp:positionV>
                <wp:extent cx="3296285" cy="158115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28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6" o:spid="_x0000_s1071" style="position:absolute;margin-left:282.85pt;margin-top:1.4pt;width:259.5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36830</wp:posOffset>
                </wp:positionV>
                <wp:extent cx="3171190" cy="139065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190" cy="13906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" o:spid="_x0000_s1072" style="position:absolute;margin-left:287.75pt;margin-top:2.9pt;width:249.7pt;height:1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13970</wp:posOffset>
                </wp:positionV>
                <wp:extent cx="3321050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.1pt" to="543.35pt,1.1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181610</wp:posOffset>
                </wp:positionV>
                <wp:extent cx="332105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4.3pt" to="543.35pt,14.3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354330</wp:posOffset>
                </wp:positionV>
                <wp:extent cx="332105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7.9pt" to="543.35pt,27.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923925</wp:posOffset>
                </wp:positionV>
                <wp:extent cx="3321050" cy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72.75pt" to="543.35pt,72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347980</wp:posOffset>
                </wp:positionV>
                <wp:extent cx="0" cy="101346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3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9pt,27.4pt" to="358.9pt,107.2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1355090</wp:posOffset>
                </wp:positionV>
                <wp:extent cx="3321050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06.7pt" to="543.35pt,106.7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1647825</wp:posOffset>
                </wp:positionV>
                <wp:extent cx="3321050" cy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29.75pt" to="543.35pt,129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2218055</wp:posOffset>
                </wp:positionV>
                <wp:extent cx="3321050" cy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74.65pt" to="543.35pt,174.6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1642110</wp:posOffset>
                </wp:positionV>
                <wp:extent cx="0" cy="101346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3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9pt,129.3pt" to="358.9pt,209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2649220</wp:posOffset>
                </wp:positionV>
                <wp:extent cx="332105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08.6pt" to="543.35pt,208.6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2846070</wp:posOffset>
                </wp:positionV>
                <wp:extent cx="3321050" cy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24.1pt" to="543.35pt,224.1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2.35pt,0.9pt" to="282.35pt,239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6894195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42.85pt,0.9pt" to="542.85pt,239.9pt" o:allowincell="f" strokecolor="#000000" strokeweight="0.9599pt"/>
            </w:pict>
          </mc:Fallback>
        </mc:AlternateContent>
      </w:r>
    </w:p>
    <w:p>
      <w:pPr>
        <w:spacing w:after="0" w:line="4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0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indeksy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Wymóg dotyczący początkowego depozytu zabezpieczającego to kwota, którą inwestor musi zdeponować u swojego brokera, aby móc zawrzeć kontrakt terminowy na indeksy.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Kwota ta jest zasadniczo równa określonemu procentowi bieżącej wartości rynkowej zamówienia.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 terminowy na indeksy również jest wyceniany według wartości rynkowej co najmniej raz dziennie, a rachunek każdego kupującego będzie odzwierciedlał kwotę wszelkich zysków lub strat z tytułu tego kontraktu w oparciu o dzienny kurs rozliczeniowy kontraktu oraz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-1342390</wp:posOffset>
                </wp:positionV>
                <wp:extent cx="2329815" cy="158115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1" o:spid="_x0000_s1086" style="position:absolute;margin-left:282.85pt;margin-top:-105.6999pt;width:183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-1324610</wp:posOffset>
                </wp:positionV>
                <wp:extent cx="2205355" cy="140335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2" o:spid="_x0000_s1087" style="position:absolute;margin-left:287.75pt;margin-top:-104.2999pt;width:173.6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-1342390</wp:posOffset>
                </wp:positionV>
                <wp:extent cx="960120" cy="158115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3" o:spid="_x0000_s1088" style="position:absolute;margin-left:466.8pt;margin-top:-105.6999pt;width:75.6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-1324610</wp:posOffset>
                </wp:positionV>
                <wp:extent cx="828675" cy="140335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4" o:spid="_x0000_s1089" style="position:absolute;margin-left:472.2pt;margin-top:-104.2999pt;width:65.2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-168910</wp:posOffset>
                </wp:positionV>
                <wp:extent cx="2329815" cy="27813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5" o:spid="_x0000_s1090" style="position:absolute;margin-left:282.85pt;margin-top:-13.2999pt;width:183.4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-21590</wp:posOffset>
                </wp:positionV>
                <wp:extent cx="2205355" cy="130175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3017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6" o:spid="_x0000_s1091" style="position:absolute;margin-left:287.75pt;margin-top:-1.6999pt;width:173.65pt;height:10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-168910</wp:posOffset>
                </wp:positionV>
                <wp:extent cx="960120" cy="27813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7" o:spid="_x0000_s1092" style="position:absolute;margin-left:466.8pt;margin-top:-13.2999pt;width:75.6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1123950</wp:posOffset>
                </wp:positionV>
                <wp:extent cx="960120" cy="18288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18288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8" o:spid="_x0000_s1093" style="position:absolute;margin-left:466.8pt;margin-top:88.5pt;width:75.6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1170940</wp:posOffset>
                </wp:positionV>
                <wp:extent cx="828675" cy="13589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3589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9" o:spid="_x0000_s1094" style="position:absolute;margin-left:472.2pt;margin-top:92.2pt;width:65.25pt;height:10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5929630</wp:posOffset>
                </wp:positionH>
                <wp:positionV relativeFrom="paragraph">
                  <wp:posOffset>-1356360</wp:posOffset>
                </wp:positionV>
                <wp:extent cx="0" cy="287020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0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6.9pt,-106.7999pt" to="466.9pt,119.2pt" o:allowincell="f" strokecolor="#000000" strokeweight="0.9599pt"/>
            </w:pict>
          </mc:Fallback>
        </mc:AlternateContent>
      </w:r>
    </w:p>
    <w:p>
      <w:pPr>
        <w:spacing w:after="0" w:line="5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56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Mogą być wymagane dodatkowe depozyty zmiennego depozytu zabezpieczającego.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Poszczególne biura maklerskie mogą również wymagać dodatkowego depozytu zabezpieczającego, wykraczającego poza depozyt wymagany przez OCC i giełdę.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wartość rynkową przyszłego indeksu obejmują między innymi cenę instrumentu bazowego, wypłatę dywidendy oraz okres do terminu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kontrakty terminowe wiąże się z dodatkowymi kosztami, które obejmują kwestie podatkowe, koszty transakcyjne i marżę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-55880</wp:posOffset>
                </wp:positionV>
                <wp:extent cx="0" cy="206375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6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9pt,-4.3999pt" to="358.9pt,11.85pt" o:allowincell="f" strokecolor="#000000" strokeweight="0.9599pt"/>
            </w:pict>
          </mc:Fallback>
        </mc:AlternateConten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wymogów, które mogą mieć istotny wpływ na zysk lub stratę.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-28575</wp:posOffset>
                </wp:positionV>
                <wp:extent cx="3321050" cy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-2.2499pt" to="543.35pt,-2.2499pt" o:allowincell="f" strokecolor="#000000" strokeweight="0.9599pt"/>
            </w:pict>
          </mc:Fallback>
        </mc:AlternateContent>
      </w:r>
    </w:p>
    <w:p>
      <w:pPr>
        <w:spacing w:after="0" w:line="4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16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 transakcyjne obejmują głównie prowizje,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Jeżeli inwestor zlikwiduje pozycję kontraktu terminowego na indeks,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.</w:t>
      </w:r>
    </w:p>
    <w:p>
      <w:pPr>
        <w:spacing w:after="0" w:line="1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6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ponoszą wyłączną odpowiedzialność za ustalenie, czy i kiedy powinni zamknąć indeksową pozycję terminową, czy też utrzymywać tę pozycję do terminu jej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pozycję kontraktów terminowych na indeksy, rezygnują z wszelkich późniejszych zysków lub strat związanych z tą pozycją.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kontrakty terminowe na indeksy mają termin zapadalności, po którym kontrakt przestaje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 może zamknąć otwartą pozycję w kontrakcie terminowym na indeksy poprzez zawarcie transakcji kompensacyjnej przed terminem zapadalności kontraktu.</w:t>
      </w:r>
    </w:p>
    <w:p>
      <w:pPr>
        <w:spacing w:after="0" w:line="8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1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NFA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ectPr>
          <w:pgSz w:w="12240" w:h="15840" w:orient="portrait"/>
          <w:cols w:equalWidth="0" w:num="1">
            <w:col w:w="10840"/>
          </w:cols>
          <w:pgMar w:left="720" w:top="702" w:right="680" w:bottom="477" w:gutter="0" w:footer="0" w:header="0"/>
        </w:sectPr>
      </w:pPr>
    </w:p>
    <w:p>
      <w:pPr>
        <w:spacing w:after="0" w:line="5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Krajowe Stowarzyszenie Kontraktów Terminowych</w:t>
      </w:r>
    </w:p>
    <w:p>
      <w:pPr xmlns:w="http://schemas.openxmlformats.org/wordprocessingml/2006/main">
        <w:ind w:left="34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300 S. Riverside Plaza, #1800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Chicago, IL 60606-6615</w:t>
      </w:r>
    </w:p>
    <w:p>
      <w:pPr>
        <w:spacing w:after="0" w:line="13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Telefon: 312-781-1300 Faks: 312-781-1467</w:t>
      </w:r>
    </w:p>
    <w:p>
      <w:pPr xmlns:w="http://schemas.openxmlformats.org/wordprocessingml/2006/main"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Komisja Handlu Kontraktami Terminowymi Na Towary W Usa</w:t>
      </w:r>
    </w:p>
    <w:p>
      <w:pPr xmlns:w="http://schemas.openxmlformats.org/wordprocessingml/2006/main"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Centrum Trzech Lafayette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1155 21st Street, NW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Waszyngton, DC 20581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Telefon: 866-366-2382 Faks: 202-418-5521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-3027045</wp:posOffset>
                </wp:positionH>
                <wp:positionV relativeFrom="paragraph">
                  <wp:posOffset>14605</wp:posOffset>
                </wp:positionV>
                <wp:extent cx="6903085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38.3499pt,1.15pt" to="305.2pt,1.15pt" o:allowincell="f" strokecolor="#000000" strokeweight="0.4799pt"/>
            </w:pict>
          </mc:Fallback>
        </mc:AlternateContent>
      </w:r>
    </w:p>
    <w:p>
      <w:pPr>
        <w:spacing w:after="0" w:line="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>
        <w:sectPr>
          <w:pgSz w:w="12240" w:h="15840" w:orient="portrait"/>
          <w:cols w:equalWidth="0" w:num="2">
            <w:col w:w="4160" w:space="720"/>
            <w:col w:w="5960"/>
          </w:cols>
          <w:pgMar w:left="720" w:top="702" w:right="680" w:bottom="477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840"/>
      </w:cols>
      <w:pgMar w:left="720" w:top="702" w:right="680" w:bottom="47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7F7503FB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2968AE9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69FB1B05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2024-05-21T09:30:16Z</dcterms:created>
  <dcterms:modified xsi:type="dcterms:W3CDTF">2024-05-21T09:30:16Z</dcterms:modified>
</cp:coreProperties>
</file>