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626110</wp:posOffset>
                </wp:positionH>
                <wp:positionV relativeFrom="page">
                  <wp:posOffset>463550</wp:posOffset>
                </wp:positionV>
                <wp:extent cx="6833870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33870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9.3pt;margin-top:36.5pt;width:538.1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463550</wp:posOffset>
                </wp:positionV>
                <wp:extent cx="673925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3925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53.05pt;margin-top:36.5pt;width:530.6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84784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88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962660</wp:posOffset>
                </wp:positionV>
                <wp:extent cx="684784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75.8pt" to="588pt,7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1837690</wp:posOffset>
                </wp:positionV>
                <wp:extent cx="684784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144.7pt" to="588pt,144.7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3052445</wp:posOffset>
                </wp:positionV>
                <wp:extent cx="684784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240.35pt" to="588pt,240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3911600</wp:posOffset>
                </wp:positionV>
                <wp:extent cx="684784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08pt" to="588pt,30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855218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5521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709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7464425</wp:posOffset>
                </wp:positionH>
                <wp:positionV relativeFrom="page">
                  <wp:posOffset>457200</wp:posOffset>
                </wp:positionV>
                <wp:extent cx="0" cy="855218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5521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75pt,36pt" to="587.75pt,709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Standardowa Opcja Na Akcje (Krótka Opcja Sprzedaży)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25400</wp:posOffset>
                </wp:positionV>
                <wp:extent cx="6833235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3235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6499pt;margin-top:2pt;width:538.05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Standardowe Opcje Na Akcje W Stanach Zjednoczonych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przedstawia niniejszy dokument na podstawie Rozporządzenia UE nr 1286/2014 dla standardowych opcji na akcje (a/k/a "opcje notowane").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Standardowe opcje na akcje są notowane i są przedmiotem obrotu na amerykańskich giełdach opcji zarejestrowanych w amerykańskiej Komisji Papierów Wartościowych i Giełd ("SEC") i są emitowane, rozliczane i rozliczane przez OCC, agencję rozliczeniową zarejestrowaną w SEC.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opcji, inwestorzy mogą znaleźć na stronie internetowej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Zaktualizowany 28 grudnia 2022 i 20 kwietnia 2023.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standardowymi opcjami na akcje, dopóki nie przeczytają i nie zrozumieją tego dokumentu i powiązanego dokumentu ujawniającego informacje na temat ryzyka, który jest przedkładany SEC,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Charakterystyka i ryzyko opcji standardowych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zwanego również dokumentem ujawniającym informacje na temat opcji ("ODD")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należy interpretować w sposób zgodny z ODD,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https://www.theocc.com/components/docs/riskstoc.pdf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20955</wp:posOffset>
                </wp:positionV>
                <wp:extent cx="6833235" cy="508889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3235" cy="5088890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6499pt;margin-top:1.65pt;width:538.05pt;height:400.7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Standaryzowana opcja na akcje to prawo do nabycia lub zbycia określonej kwoty lub wartości danego bazowego papieru wartościowego po ustalonej cenie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tj. "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cenie wykonania") poprzez skorzystanie z opcji przed określonym terminem jej wygaśnięcia.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bazowy papier wartościowy jest zatem pośrednia, ponieważ wartość opcji jest ustalana na podstawie wartości bazowego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wygaśnięcia opcji na akcje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okolicznościach, w których warunki opcji zostaną jednoznacznie uznane za błędne, giełda, na której wykonywana jest transakcja, może jednostronnie wypowiedzieć opcję w określonym terminie po jej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niektórych przypadkach działanie korporacyjne w odniesieniu do bazowego kapitałowego papieru wartościowego może skutkować zmianą warunków opcji zgodnie z zasadami UOKiK, które mogą różnić się od metodyki stosowanej na europejskich rynkach opcji.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0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mu wykonania opcji - do wykonania zobowiązania zgodnie z warunkami zakupu lub sprzedaży bazowego papieru wartościowego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wykonywana tylko w określonym okresie przed wygaśnięciem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np.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Standardowe opcje na akcje są zazwyczaj rozliczane fizycznie, ale mogą być również rozliczane w środkach pieniężnych.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Fizyczne rozliczenie daje posiadaczowi prawo do otrzymania (wezwania) lub fizycznej dostawy (sprzedaży) bazowego papieru wartościowego po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rozliczeniu gotówkowym posiadacz ma prawo do otrzymania płatności gotówkowej, jeżeli ustalona wartość bazowego papieru wartościowego w momencie wykonania przekracza (wezwanie) lub jest niższa od (sprzedaż) ceny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to cena wykonania opcji, czas do wygaśnięcia opcji oraz wartość bazowego papieru wartościowego i jego podatność na wahania cen (zmienność).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Standardowe opcje na akcje nie są odpowiednie dla wszystkich inwestorów i są przeznaczone wyłącznie dla inwestorów, którzy dokładnie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17780</wp:posOffset>
                </wp:positionV>
                <wp:extent cx="684720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2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1499pt,1.4pt" to="534pt,1.4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560"/>
          </w:cols>
          <w:pgMar w:left="1080" w:top="699" w:right="600" w:bottom="112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84784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88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894588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45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740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7464425</wp:posOffset>
                </wp:positionH>
                <wp:positionV relativeFrom="page">
                  <wp:posOffset>457200</wp:posOffset>
                </wp:positionV>
                <wp:extent cx="0" cy="894588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45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75pt,36pt" to="587.75pt,740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1065530</wp:posOffset>
            </wp:positionH>
            <wp:positionV relativeFrom="paragraph">
              <wp:posOffset>15875</wp:posOffset>
            </wp:positionV>
            <wp:extent cx="4906010" cy="179959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1065530</wp:posOffset>
            </wp:positionH>
            <wp:positionV relativeFrom="paragraph">
              <wp:posOffset>15875</wp:posOffset>
            </wp:positionV>
            <wp:extent cx="4906010" cy="17995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2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warunków opcji, ale może obejmować:</w:t>
      </w:r>
    </w:p>
    <w:p>
      <w:pPr>
        <w:spacing w:after="0" w:line="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40" w:right="20" w:hanging="230"/>
        <w:spacing w:after="0" w:line="228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Od podmiotu wystawiającego opcje można wymagać, aby spełnił obowiązek zakupu lub sprzedaży udziałów bazowych w każdym czasie, w którym opcja jest wykonalna ze względu na jej styl.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Jednostka sporządzająca opcje kupna, która nie jest właścicielem bazowego papieru wartościowego (wezwanie niezabezpieczone), ponosi ryzyko potencjalnie nieograniczonej straty w miarę wzrostu ceny bazowego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Jednostka sporządzająca opcje sprzedaży ponosi ryzyko straty równej różnicy między ceną realizacji opcji sprzedaży a zerem, jeżeli cena bazowego papieru wartościowego spadnie do zera.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Podmioty zapisujące takie niepokryte wezwania i transakcje sprzedaży są zobowiązane do wniesienia depozytu zabezpieczającego (opisanego poniżej) u swojego brokera, co stwarza dodatkowe ryzyko.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right="260" w:hanging="230"/>
        <w:spacing w:after="0" w:line="217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opcji, na której jedynym przedmiotem obrotu są opcje, stanie się niedostępna, inwestorzy w te opcje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wystąpić sytuacje, w których ceny opcji nie utrzymają zwyczajowych lub oczekiwanych relacji z cenami bazowych lub powiązanych z nimi udziałów.</w:t>
      </w:r>
    </w:p>
    <w:p>
      <w:pPr>
        <w:spacing w:after="0" w:line="7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right="360" w:hanging="230"/>
        <w:spacing w:after="0" w:line="205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bazowy papier wartościowy wykonanej opcji, który jest fizycznie rozliczany, jest niedostępny, zasady UOKiK mogą wymagać alternatywnej formy rozliczenia, takiej jak rozliczenie gotówkowe.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hanging="230"/>
        <w:spacing w:after="0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77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100" w:hanging="210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handlem lub korzystaniem z opcji będą rozliczane w dolarach amerykańskich, a w konsekwencji wyniki inwestycyjne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1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38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opcyjnej)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24130</wp:posOffset>
            </wp:positionH>
            <wp:positionV relativeFrom="paragraph">
              <wp:posOffset>14605</wp:posOffset>
            </wp:positionV>
            <wp:extent cx="6750050" cy="174053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174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24130</wp:posOffset>
            </wp:positionH>
            <wp:positionV relativeFrom="paragraph">
              <wp:posOffset>14605</wp:posOffset>
            </wp:positionV>
            <wp:extent cx="6750050" cy="174053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174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5840" w:orient="portrait"/>
          <w:cols w:equalWidth="0" w:num="1">
            <w:col w:w="10560"/>
          </w:cols>
          <w:pgMar w:left="1080" w:top="706" w:right="600" w:bottom="505" w:gutter="0" w:footer="0" w:header="0"/>
        </w:sectPr>
      </w:pPr>
    </w:p>
    <w:p>
      <w:pPr>
        <w:spacing w:after="0" w:line="177" w:lineRule="exact"/>
        <w:rPr>
          <w:sz w:val="20"/>
          <w:szCs w:val="20"/>
          <w:color w:val="auto"/>
        </w:rPr>
      </w:pPr>
    </w:p>
    <w:tbl>
      <w:tblPr>
        <w:tblLayout w:type="fixed"/>
        <w:tblInd w:w="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100" w:type="dxa"/>
            <w:vAlign w:val="bottom"/>
            <w:gridSpan w:val="4"/>
          </w:tcPr>
          <w:p>
            <w:pPr xmlns:w="http://schemas.openxmlformats.org/wordprocessingml/2006/main">
              <w:jc w:val="right"/>
              <w:ind w:right="4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 z napisania oferty (Premium $5; Cena ćwiczenia $45)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9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1200" w:type="dxa"/>
            <w:vAlign w:val="bottom"/>
          </w:tcPr>
          <w:p>
            <w:pPr xmlns:w="http://schemas.openxmlformats.org/wordprocessingml/2006/main">
              <w:jc w:val="right"/>
              <w:ind w:right="276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20 $</w:t>
            </w:r>
          </w:p>
        </w:tc>
        <w:tc>
          <w:tcPr>
            <w:tcW w:w="980" w:type="dxa"/>
            <w:vAlign w:val="bottom"/>
          </w:tcPr>
          <w:p>
            <w:pPr xmlns:w="http://schemas.openxmlformats.org/wordprocessingml/2006/main">
              <w:jc w:val="right"/>
              <w:ind w:right="2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40 $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2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60 $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2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80 $</w:t>
            </w:r>
          </w:p>
        </w:tc>
        <w:tc>
          <w:tcPr>
            <w:tcW w:w="7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10 $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8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5"/>
        </w:trPr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</w:t>
            </w: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- 10 USD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- 20 USD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5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- 30 USD</w:t>
            </w:r>
          </w:p>
        </w:tc>
        <w:tc>
          <w:tcPr>
            <w:tcW w:w="3140" w:type="dxa"/>
            <w:vAlign w:val="bottom"/>
            <w:gridSpan w:val="3"/>
            <w:vMerge w:val="restart"/>
          </w:tcPr>
          <w:p>
            <w:pPr xmlns:w="http://schemas.openxmlformats.org/wordprocessingml/2006/main">
              <w:jc w:val="right"/>
              <w:ind w:right="5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Cena rynkowa instrumentu bazowego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1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Mechanizm Stressed Market Underlying Move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</w:rPr>
        <w:t xml:space="preserve"> (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</w:rPr>
        <w:t xml:space="preserve">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Cena rynkowa: $15</w:t>
      </w:r>
    </w:p>
    <w:p>
      <w:pPr xmlns:w="http://schemas.openxmlformats.org/wordprocessingml/2006/main">
        <w:ind w:left="300" w:hanging="153"/>
        <w:spacing w:after="0" w:line="238" w:lineRule="auto"/>
        <w:tabs>
          <w:tab w:leader="none" w:pos="300" w:val="left"/>
        </w:tabs>
        <w:numPr>
          <w:ilvl w:val="0"/>
          <w:numId w:val="2"/>
        </w:numPr>
        <w:rPr>
          <w:rFonts w:ascii="Symbol" w:cs="Symbol" w:eastAsia="Symbol" w:hAnsi="Symbol"/>
          <w:sz w:val="18"/>
          <w:szCs w:val="18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Niekorzystny dla pisarza - $25</w:t>
      </w:r>
    </w:p>
    <w:p>
      <w:pPr xmlns:w="http://schemas.openxmlformats.org/wordprocessingml/2006/main">
        <w:ind w:left="140"/>
        <w:spacing w:after="0" w:line="199" w:lineRule="auto"/>
        <w:tabs>
          <w:tab w:leader="none" w:pos="190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8"/>
          <w:szCs w:val="18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+ 25 $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Umiarkowane Przesunięcie Rynkowe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</w:rPr>
        <w:t xml:space="preserve"> (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</w:rPr>
        <w:t xml:space="preserve">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Cena rynkowa: $35</w:t>
      </w:r>
    </w:p>
    <w:p>
      <w:pPr xmlns:w="http://schemas.openxmlformats.org/wordprocessingml/2006/main">
        <w:ind w:left="300" w:hanging="153"/>
        <w:spacing w:after="0" w:line="238" w:lineRule="auto"/>
        <w:tabs>
          <w:tab w:leader="none" w:pos="300" w:val="left"/>
        </w:tabs>
        <w:numPr>
          <w:ilvl w:val="0"/>
          <w:numId w:val="3"/>
        </w:numPr>
        <w:rPr>
          <w:rFonts w:ascii="Symbol" w:cs="Symbol" w:eastAsia="Symbol" w:hAnsi="Symbol"/>
          <w:sz w:val="18"/>
          <w:szCs w:val="18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Niekorzystny dla pisarza - $5</w:t>
      </w:r>
    </w:p>
    <w:p>
      <w:pPr xmlns:w="http://schemas.openxmlformats.org/wordprocessingml/2006/main">
        <w:ind w:left="140"/>
        <w:spacing w:after="0" w:line="199" w:lineRule="auto"/>
        <w:tabs>
          <w:tab w:leader="none" w:pos="194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8"/>
          <w:szCs w:val="18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+ 5$</w:t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6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cena bazowa jest równa cenie wykonania minus premia.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6200" w:space="440"/>
            <w:col w:w="3920"/>
          </w:cols>
          <w:pgMar w:left="1080" w:top="706" w:right="600" w:bottom="505" w:gutter="0" w:footer="0" w:header="0"/>
          <w:type w:val="continuous"/>
        </w:sect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wzrośnie.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otrzymasz, będzie się różnić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Podane liczby obejmują wszystkie koszty samego produktu, ale mogą nie obejmować wszystkich kosztów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20320</wp:posOffset>
                </wp:positionV>
                <wp:extent cx="684720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2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1499pt,1.6pt" to="534pt,1.6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560"/>
          </w:cols>
          <w:pgMar w:left="1080" w:top="706" w:right="600" w:bottom="505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 w:right="16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84784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88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807085</wp:posOffset>
                </wp:positionV>
                <wp:extent cx="6847840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63.55pt" to="588pt,63.5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6447790</wp:posOffset>
                </wp:positionV>
                <wp:extent cx="684784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507.7pt" to="588pt,507.7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7988300</wp:posOffset>
                </wp:positionV>
                <wp:extent cx="6847840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629pt" to="588pt,62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873506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35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723.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7464425</wp:posOffset>
                </wp:positionH>
                <wp:positionV relativeFrom="page">
                  <wp:posOffset>457200</wp:posOffset>
                </wp:positionV>
                <wp:extent cx="0" cy="873506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35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75pt,36pt" to="587.75pt,723.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płać doradcy lub dystrybutorowi i nie brać pod uwagę osobistej sytuacji podatkowej, która może mieć również wpływ na wysokość otrzymywanych kwot.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20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UOKiK zostały zaprojektowane w taki sposób, aby wyniki dotyczące wszystkich opcji były pomiędzy UOKiK a grupą firm maklerskich zwanych członkami rozliczającymi, które posiadają pozycje wszystkich posiadaczy opcji i emitentów na swoich rachunkach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każdej kwoty należnej.</w:t>
      </w:r>
    </w:p>
    <w:p>
      <w:pPr>
        <w:spacing w:after="0" w:line="6" w:lineRule="exact"/>
        <w:rPr>
          <w:sz w:val="20"/>
          <w:szCs w:val="20"/>
          <w:color w:val="auto"/>
        </w:rPr>
      </w:pPr>
    </w:p>
    <w:tbl>
      <w:tblPr>
        <w:tblLayout w:type="fixed"/>
        <w:tblInd w:w="1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0"/>
        </w:trPr>
        <w:tc>
          <w:tcPr>
            <w:tcW w:w="1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Jakie są koszty?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Osoba doradzająca lub sprzedająca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2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  <w:tc>
          <w:tcPr>
            <w:tcW w:w="1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Ten produkt może obciążać Cię innymi kosztami.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Jeśli tak, to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osoba ta udzieli Ci informacji na ten temat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8"/>
              </w:rPr>
              <w:t xml:space="preserve">Roczny wpływ na koszty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360" w:type="dxa"/>
            <w:vAlign w:val="bottom"/>
            <w:gridSpan w:val="2"/>
          </w:tcPr>
          <w:p>
            <w:pPr xmlns:w="http://schemas.openxmlformats.org/wordprocessingml/2006/main">
              <w:spacing w:after="0" w:line="23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kosztów i ich wpływu na Twoją inwestycję.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Kruszywo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standardowych opcji na akcje zależą od wielu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8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czynników.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Premia opcyjna to koszt opłacony przez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7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posiadacz do autora.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Czynniki mające istotny wpływ 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Składka obejmuje, ale nie jest ograniczona do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bazowej wartości kapitału własnego, czas do wygaśnięcia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opcji i ceny wykonania.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Opcje inwestycji obejmują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6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7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dodatkowe koszty uwzględniające kwestie podatkowe,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3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transakcyjne i wymagania dotyczące marży, które mogą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istotnie wpływają na wynik finansowy.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Na koszty transakcyjne składają się</w:t>
            </w: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2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shd w:val="clear" w:color="auto" w:fill="DADADA"/>
          </w:tcPr>
          <w:p>
            <w:pPr xmlns:w="http://schemas.openxmlformats.org/wordprocessingml/2006/main">
              <w:spacing w:after="0" w:line="20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gridSpan w:val="2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głównie prowizji (które są nakładane w otwarciu,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DADADA"/>
            </w:tcBorders>
            <w:gridSpan w:val="2"/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transakcji zamknięcia, wykonania i cesji), ale może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obejmują również koszty marży i odsetek.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Marża oznacza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aktywa, które muszą być zdeponowane przez emitenta w jego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3"/>
              </w:rPr>
              <w:t xml:space="preserve">opłata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gridSpan w:val="4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jako zabezpieczenie zobowiązania, jako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celu kupna lub sprzedaży odsetek bazowych lub zapłaty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1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kwotę rozliczenia gotówkowego.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W przypadku wykonania opcji oraz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80" w:type="dxa"/>
            <w:vAlign w:val="bottom"/>
            <w:gridSpan w:val="7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</w:rPr>
              <w:t xml:space="preserve">Koszty uboczne ponoszone na określonych warunkach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przypisany, autor może ponieść dodatkowe koszty.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7"/>
            <w:vMerge w:val="continue"/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36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Opłaty związane z opłatami UOKiK oddzielone od kosztów inwestora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560" w:type="dxa"/>
            <w:vAlign w:val="bottom"/>
            <w:gridSpan w:val="1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za rozliczenie tego produktu do członków rozliczających, ale nie bezpośrednio do Ciebie: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563C1"/>
              </w:rPr>
              <w:t xml:space="preserve"> https://www.theocc.com/company-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360" w:type="dxa"/>
            <w:vAlign w:val="bottom"/>
            <w:gridSpan w:val="2"/>
          </w:tcPr>
          <w:p>
            <w:pPr xmlns:w="http://schemas.openxmlformats.org/wordprocessingml/2006/main">
              <w:spacing w:after="0" w:line="24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563C1"/>
              </w:rPr>
              <w:t xml:space="preserve">informacje/taryfa opłat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00000"/>
              </w:rPr>
              <w:t xml:space="preserve">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top w:val="single" w:sz="8" w:color="0563C1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0563C1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0563C1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0563C1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0563C1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0563C1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0563C1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0563C1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top w:val="single" w:sz="8" w:color="0563C1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4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jest dla posiadacza kluczową decyzją inwestycyjną, podobnie jak decyzja zarówno posiadaczy opcji, jak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kontrakt (kontrakty) opcyjne, czy też zamknąć istniejącą pozycję opcyjną.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istniejącą pozycję opcyjną,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8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8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http://www.finra.org/investors/investor-complaint-center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 lub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40"/>
        <w:spacing w:after="0"/>
        <w:tabs>
          <w:tab w:leader="none" w:pos="54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Centrum Reklamacji Inwestorów FINRA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USA.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Komisja Papierów Wartościowych i Giełd</w:t>
      </w:r>
    </w:p>
    <w:p>
      <w:pPr xmlns:w="http://schemas.openxmlformats.org/wordprocessingml/2006/main">
        <w:ind w:left="380"/>
        <w:spacing w:after="0"/>
        <w:tabs>
          <w:tab w:leader="none" w:pos="54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9509 Key West Avenue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Biuro Edukacji i Rzecznictwa Inwestorskiego</w:t>
      </w:r>
    </w:p>
    <w:p>
      <w:pPr xmlns:w="http://schemas.openxmlformats.org/wordprocessingml/2006/main">
        <w:ind w:left="380"/>
        <w:spacing w:after="0"/>
        <w:tabs>
          <w:tab w:leader="none" w:pos="54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Rockville, MD 20850-3329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100 F Street, Gdzie Indziej Niewymienione.</w:t>
      </w:r>
    </w:p>
    <w:p>
      <w:pPr xmlns:w="http://schemas.openxmlformats.org/wordprocessingml/2006/main">
        <w:ind w:left="380"/>
        <w:spacing w:after="0"/>
        <w:tabs>
          <w:tab w:leader="none" w:pos="54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Telefon: (240) 386- 4357 Faks: (866) 397-3290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Waszyngton, DC 20549-0213 Faks: (202) 772-9295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16510</wp:posOffset>
                </wp:positionV>
                <wp:extent cx="684784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8pt,1.3pt" to="545pt,1.3pt" o:allowincell="f" strokecolor="#000000" strokeweight="0.4799pt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900"/>
      </w:cols>
      <w:pgMar w:left="860" w:top="774" w:right="480" w:bottom="552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48840F5A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1CA396D5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5F0549BD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2024-05-21T09:39:21Z</dcterms:created>
  <dcterms:modified xsi:type="dcterms:W3CDTF">2024-05-21T09:39:21Z</dcterms:modified>
</cp:coreProperties>
</file>