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23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b w:val="1"/>
          <w:bCs w:val="1"/>
          <w:color w:val="auto"/>
        </w:rPr>
        <w:t xml:space="preserve">Dokument zawierający kluczowe informacje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-33655</wp:posOffset>
            </wp:positionV>
            <wp:extent cx="1356360" cy="2393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23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300" w:right="140" w:firstLine="26"/>
        <w:spacing w:after="0" w:line="24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Cel: 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158115</wp:posOffset>
                </wp:positionV>
                <wp:extent cx="6840220" cy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2.45pt" to="539pt,12.4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Nazwa produktu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: Invesco Physical Gold ETC, IE00B579F325 (ISIN)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Producent PRIIP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: Invesco Physical Markets plc</w:t>
      </w:r>
    </w:p>
    <w:p>
      <w:pPr>
        <w:spacing w:after="0" w:line="7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4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Bank Centralny Irlandii jest organem właściwym dla Invesco Physical Markets plc w odniesieniu do niniejszego dokumentu zawierającego kluczowe informacje.</w:t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Dane kontaktowe:</w:t>
      </w:r>
    </w:p>
    <w:p>
      <w:pPr xmlns:w="http://schemas.openxmlformats.org/wordprocessingml/2006/main"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+44 (0) 20 3370 1100</w:t>
      </w:r>
    </w:p>
    <w:p>
      <w:pPr xmlns:w="http://schemas.openxmlformats.org/wordprocessingml/2006/main"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Invest@Invesco.com</w:t>
      </w:r>
    </w:p>
    <w:p>
      <w:pPr xmlns:w="http://schemas.openxmlformats.org/wordprocessingml/2006/main"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https://etf.invesco.com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Dokument ten został sporządzony 7 kwietnia 2023 roku.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103505</wp:posOffset>
                </wp:positionV>
                <wp:extent cx="6839585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8.15pt" to="538.4pt,8.15pt" o:allowincell="f" strokecolor="#002453" strokeweight="0.72pt"/>
            </w:pict>
          </mc:Fallback>
        </mc:AlternateContent>
      </w:r>
    </w:p>
    <w:p>
      <w:pPr>
        <w:sectPr>
          <w:pgSz w:w="11900" w:h="16840" w:orient="portrait"/>
          <w:cols w:equalWidth="0" w:num="1">
            <w:col w:w="10920"/>
          </w:cols>
          <w:pgMar w:left="560" w:top="499" w:right="420" w:bottom="0" w:gutter="0" w:footer="0" w:header="0"/>
        </w:sect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Co to za produkt?</w:t>
      </w:r>
    </w:p>
    <w:p>
      <w:pPr>
        <w:spacing w:after="0" w:line="8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Typ: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Ten produkt jest fizycznie zabezpieczonym certyfikatem giełdowym.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Są to certyfikaty zabezpieczone, z ograniczonym regresem.</w:t>
      </w:r>
    </w:p>
    <w:p>
      <w:pPr>
        <w:spacing w:after="0" w:line="31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Termin: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Ostateczny termin zapadalności tego produktu przypada na 31 grudnia 2100 r.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Wytwórca ma prawo wypowiedzieć produkt w ograniczonej liczbie okoliczności określonych w prospekcie emisyjnym.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Zamierzony Inwestor Detaliczny: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Ten produkt jest przeznaczony dla inwestorów, którzy chcą inwestować długoterminowo i planują pozostać w inwestycji przez co najmniej 5 lat.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Inwestorzy powinni być przygotowani na podjęcie stosunkowo wysokiego ryzyka utraty kapitału początkowego w celu uzyskania wyższego potencjalnego zwrotu.</w:t>
      </w:r>
    </w:p>
    <w:p>
      <w:pPr>
        <w:spacing w:after="0" w:line="1022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260" w:space="300"/>
            <w:col w:w="5360"/>
          </w:cols>
          <w:pgMar w:left="560" w:top="499" w:right="420" w:bottom="0" w:gutter="0" w:footer="0" w:header="0"/>
          <w:type w:val="continuous"/>
        </w:sect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Cele: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Invesco Physical Gold ETC ma na celu zapewnienie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Realizacja ceny złota spot poprzez certyfikaty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zabezpieczony złotem kruszcowym.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Walutą bazową jest USD.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160020</wp:posOffset>
                </wp:positionV>
                <wp:extent cx="683958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2.6pt" to="538.4pt,12.6pt" o:allowincell="f" strokecolor="#002453" strokeweight="0.8399pt"/>
            </w:pict>
          </mc:Fallback>
        </mc:AlternateContent>
      </w:r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9"/>
        </w:trPr>
        <w:tc>
          <w:tcPr>
            <w:tcW w:w="5560" w:type="dxa"/>
            <w:vAlign w:val="bottom"/>
            <w:gridSpan w:val="9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6"/>
                <w:szCs w:val="26"/>
                <w:b w:val="1"/>
                <w:bCs w:val="1"/>
                <w:color w:val="auto"/>
              </w:rPr>
              <w:t xml:space="preserve">Jakie jest ryzyko i co mogę dostać</w:t>
            </w: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Zaklasyfikowaliśmy ten produkt jako 4 z 7, co jest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00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291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6"/>
                <w:szCs w:val="26"/>
                <w:b w:val="1"/>
                <w:bCs w:val="1"/>
                <w:color w:val="auto"/>
              </w:rPr>
              <w:t xml:space="preserve">Wrócić?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średniej klasy ryzyka.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 Ocenia to potencjalne straty z tytułu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660" w:type="dxa"/>
            <w:vAlign w:val="bottom"/>
            <w:gridSpan w:val="3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 xml:space="preserve">Wskaźnik Ryzyka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wyniki na średnim poziomie w przyszłości i słaby rynek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20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mogą mieć wpływ na możliwość uzyskania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22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dodatni zwrot z inwestycji.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 xmlns:w="http://schemas.openxmlformats.org/wordprocessingml/2006/main"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Niższe ryzyko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40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5"/>
              </w:rPr>
              <w:t xml:space="preserve">Wyższe ryzyko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21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  <w:w w:val="99"/>
              </w:rPr>
              <w:t xml:space="preserve">Bądź świadomy ryzyka walutowego.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  <w:w w:val="99"/>
              </w:rPr>
              <w:t xml:space="preserve"> W niektórych okolicznościach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może otrzymywać płatności w innej walucie od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1000" w:type="dxa"/>
            <w:vAlign w:val="bottom"/>
            <w:gridSpan w:val="2"/>
            <w:vMerge w:val="restart"/>
          </w:tcPr>
          <w:p>
            <w:pPr xmlns:w="http://schemas.openxmlformats.org/wordprocessingml/2006/main"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1</w:t>
            </w:r>
          </w:p>
        </w:tc>
        <w:tc>
          <w:tcPr>
            <w:tcW w:w="6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3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2</w:t>
            </w:r>
          </w:p>
        </w:tc>
        <w:tc>
          <w:tcPr>
            <w:tcW w:w="50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3</w:t>
            </w:r>
          </w:p>
        </w:tc>
        <w:tc>
          <w:tcPr>
            <w:tcW w:w="70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FFFFFF"/>
              </w:rPr>
              <w:t xml:space="preserve">4</w:t>
            </w:r>
          </w:p>
        </w:tc>
        <w:tc>
          <w:tcPr>
            <w:tcW w:w="92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5</w:t>
            </w:r>
          </w:p>
        </w:tc>
        <w:tc>
          <w:tcPr>
            <w:tcW w:w="52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6</w:t>
            </w:r>
          </w:p>
        </w:tc>
        <w:tc>
          <w:tcPr>
            <w:tcW w:w="80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7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20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Twoja lokalna waluta, aby uzyskać ostateczny zwrot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może zależeć od kursu wymiany między nimi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walut.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 Ryzyko to nie jest uwzględniane we wskaźniku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22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powyżej.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W przypadku innych rodzajów ryzyka, które mają istotne znaczenie dla produktu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5560" w:type="dxa"/>
            <w:vAlign w:val="bottom"/>
            <w:gridSpan w:val="9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Wskaźnik ryzyka zakłada, że produkt jest przechowywany przez 5</w:t>
            </w: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nie są uwzględniane w zbiorczym wskaźniku ryzyka,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556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prosimy o zapoznanie się z Prospektem Emisyjnym Podstawowym Produktu dostępnym na stronie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5560" w:type="dxa"/>
            <w:vAlign w:val="bottom"/>
            <w:gridSpan w:val="9"/>
            <w:vMerge w:val="restart"/>
          </w:tcPr>
          <w:p>
            <w:pPr xmlns:w="http://schemas.openxmlformats.org/wordprocessingml/2006/main">
              <w:spacing w:after="0" w:line="221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lat.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 Rzeczywiste ryzyko może się znacznie różnić, jeśli</w:t>
            </w: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556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19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0000FF"/>
              </w:rPr>
              <w:t xml:space="preserve">etf.invesco.com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000000"/>
              </w:rPr>
              <w:t xml:space="preserve">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4300" w:type="dxa"/>
            <w:vAlign w:val="bottom"/>
            <w:gridSpan w:val="7"/>
            <w:vMerge w:val="restart"/>
          </w:tcPr>
          <w:p>
            <w:pPr xmlns:w="http://schemas.openxmlformats.org/wordprocessingml/2006/main">
              <w:spacing w:after="0" w:line="22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na wczesnym etapie i możesz mniej odzyskać.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4300" w:type="dxa"/>
            <w:vAlign w:val="bottom"/>
            <w:gridSpan w:val="7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43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Ten produkt nie obejmuje żadnej ochrony przed przyszłymi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5560" w:type="dxa"/>
            <w:vAlign w:val="bottom"/>
            <w:gridSpan w:val="9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Podsumowujący wskaźnik ryzyka jest przewodnikiem po poziomie ryzyka</w:t>
            </w: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556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wyniki rynkowe, dzięki czemu możesz stracić część lub całość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560" w:type="dxa"/>
            <w:vAlign w:val="bottom"/>
            <w:gridSpan w:val="9"/>
          </w:tcPr>
          <w:p>
            <w:pPr xmlns:w="http://schemas.openxmlformats.org/wordprocessingml/2006/main">
              <w:spacing w:after="0" w:line="221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tego produktu w porównaniu z innymi produktami.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 Pokazuje</w:t>
            </w: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221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Twoja inwestycja.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-1270</wp:posOffset>
            </wp:positionH>
            <wp:positionV relativeFrom="paragraph">
              <wp:posOffset>-1828165</wp:posOffset>
            </wp:positionV>
            <wp:extent cx="3311525" cy="10350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25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jakie jest prawdopodobieństwo, że produkt straci pieniądze, ponieważ</w:t>
      </w: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na rynku lub dlatego, że nie</w:t>
      </w:r>
    </w:p>
    <w:p>
      <w:pPr xmlns:w="http://schemas.openxmlformats.org/wordprocessingml/2006/main"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Mogę ci zapłacić.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1662430</wp:posOffset>
                </wp:positionV>
                <wp:extent cx="684022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30.9pt" to="539pt,130.9pt" o:allowincell="f" strokecolor="#B4B4B4" strokeweight="0.9599pt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Strona 1 z 3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| 7 kwietnia 2023</w:t>
      </w:r>
    </w:p>
    <w:p>
      <w:pPr>
        <w:sectPr>
          <w:pgSz w:w="11900" w:h="16840" w:orient="portrait"/>
          <w:cols w:equalWidth="0" w:num="1">
            <w:col w:w="10920"/>
          </w:cols>
          <w:pgMar w:left="560" w:top="499" w:right="420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Invesco Physical Gold ETC, (IE00B579F325)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35560</wp:posOffset>
                </wp:positionV>
                <wp:extent cx="684022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2.8pt" to="540pt,2.8pt" o:allowincell="f" strokecolor="#B4B4B4" strokeweight="0.9599pt"/>
            </w:pict>
          </mc:Fallback>
        </mc:AlternateConten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b w:val="1"/>
          <w:bCs w:val="1"/>
          <w:color w:val="auto"/>
        </w:rPr>
        <w:t xml:space="preserve">Scenariusze wydajności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Podane liczby obejmują wszystkie koszty samego produktu, ale mogą nie obejmować wszystkich kosztów, które płacisz swojemu doradcy lub dystrybutorowi.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Liczby nie uwzględniają Twojej osobistej sytuacji podatkowej, co może mieć również wpływ na to, ile odzyskasz.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To, co uzyskasz z tego produktu, zależy od przyszłej wydajności rynku.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Rozwój rynku w przyszłości jest niepewny i nie można go dokładnie przewidzieć.</w:t>
      </w:r>
    </w:p>
    <w:p>
      <w:pPr>
        <w:spacing w:after="0" w:line="7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Niekorzystne, umiarkowane i korzystne scenariusze są ilustracjami wykorzystującymi najgorszą, średnią i najlepszą wydajność produktu w ciągu ostatnich 10 lat.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Scenariusz warunków skrajnych pokazuje, co możesz odzyskać w ekstremalnych warunkach rynkowych.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222250</wp:posOffset>
                </wp:positionV>
                <wp:extent cx="684784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pt,17.5pt" to="540pt,17.5pt" o:allowincell="f" strokecolor="#002453" strokeweight="0.96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EB6852"/>
        </w:rPr>
        <w:t xml:space="preserve">Zalecany okres przechowywania: 5 lat</w:t>
      </w:r>
    </w:p>
    <w:p>
      <w:pPr>
        <w:spacing w:after="0" w:line="1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EB6852"/>
        </w:rPr>
        <w:t xml:space="preserve">Inwestycje: 10 000 USD</w:t>
      </w:r>
    </w:p>
    <w:p>
      <w:pPr>
        <w:spacing w:after="0" w:line="4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Scenariusze</w:t>
            </w:r>
          </w:p>
        </w:tc>
        <w:tc>
          <w:tcPr>
            <w:tcW w:w="4180" w:type="dxa"/>
            <w:vAlign w:val="bottom"/>
            <w:tcBorders>
              <w:top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top w:val="single" w:sz="8" w:color="002453"/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2440" w:type="dxa"/>
            <w:vAlign w:val="bottom"/>
            <w:tcBorders>
              <w:top w:val="single" w:sz="8" w:color="002453"/>
            </w:tcBorders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Wyjście z programu po 5 latach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  <w:gridSpan w:val="2"/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Minimum: Nie ma minimalnego gwarantowanego zwrotu.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 Możesz stracić część lub całość swoich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40" w:type="dxa"/>
            <w:vAlign w:val="bottom"/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(zalecany okres utrzymywania)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inwestycji.</w:t>
            </w: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Naprężenie</w:t>
            </w:r>
          </w:p>
        </w:tc>
        <w:tc>
          <w:tcPr>
            <w:tcW w:w="418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240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4 050 USD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4 050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92E5D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240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59,53%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16,53%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Niekorzystny¹</w:t>
            </w: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9"/>
              </w:rPr>
              <w:t xml:space="preserve">7 490 USD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9"/>
              </w:rPr>
              <w:t xml:space="preserve">7 960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25.07%</w:t>
            </w:r>
          </w:p>
        </w:tc>
        <w:tc>
          <w:tcPr>
            <w:tcW w:w="24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4,45%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Umiarkowane²</w:t>
            </w: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8"/>
              </w:rPr>
              <w:t xml:space="preserve">10 030 USD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4"/>
              </w:rPr>
              <w:t xml:space="preserve">13 190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0,34%</w:t>
            </w:r>
          </w:p>
        </w:tc>
        <w:tc>
          <w:tcPr>
            <w:tcW w:w="24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5,69%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Korzystne³</w:t>
            </w: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6"/>
              </w:rPr>
              <w:t xml:space="preserve">13 730 USD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8"/>
              </w:rPr>
              <w:t xml:space="preserve">17 650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84"/>
              </w:rPr>
              <w:t xml:space="preserve">37,34%</w:t>
            </w:r>
          </w:p>
        </w:tc>
        <w:tc>
          <w:tcPr>
            <w:tcW w:w="24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8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12.03%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 w:right="3460" w:firstLine="4"/>
        <w:spacing w:after="0" w:line="238" w:lineRule="auto"/>
        <w:tabs>
          <w:tab w:leader="none" w:pos="109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Ten rodzaj scenariusza miał miejsce w przypadku inwestycji między styczniem 2013 r. a styczniem 2018 r. ² Ten rodzaj scenariusza miał miejsce w przypadku inwestycji między czerwcem 2016 r. a czerwcem 2021 r.</w:t>
      </w:r>
    </w:p>
    <w:p>
      <w:pPr>
        <w:spacing w:after="0" w:line="8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 xmlns:w="http://schemas.openxmlformats.org/wordprocessingml/2006/main">
        <w:ind w:left="2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³ Tego typu scenariusz miał miejsce w przypadku inwestycji między lipcem 2015 r. a lipcem 2020 r.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Co się stanie, jeśli Invesco Physical Markets PLC nie będzie w stanie wypłacić?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W przypadku niewywiązania się przez producenta lub powiernika JPMorgan Chase Bank, N.A. ze swoich zobowiązań, możesz ponieść stratę finansową.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Nie istnieje system rekompensat lub gwarancji, który mógłby skompensować całość lub część tej straty.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209550</wp:posOffset>
                </wp:positionV>
                <wp:extent cx="684022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16.5pt" to="540pt,16.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Jakie są koszty?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Osoba doradzająca lub sprzedająca Ci ten produkt może naliczyć Ci inne koszty.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Jeśli tak, osoba ta przekaże Ci informacje o tych kosztach i ich wpływie na Twoją inwestycję.</w:t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Koszty w czasie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Kwoty te zależą od tego, ile zainwestujesz, jak długo przechowujesz produkt i jak dobrze działa produkt.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Przedstawione tu kwoty są ilustracjami opartymi na przykładowej kwocie inwestycji i różnych możliwych okresach inwestycji.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Założyliśmy, że 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W odniesieniu do drugiego okresu utrzymywania funduszy założyliśmy, że fundusz działa zgodnie ze scenariuszem umiarkowanym, a inwestycja wynosi 10 000 USD.</w:t>
      </w:r>
    </w:p>
    <w:p>
      <w:pPr>
        <w:spacing w:after="0" w:line="18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top w:val="single" w:sz="8" w:color="002453"/>
              <w:right w:val="single" w:sz="8" w:color="002453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Inwestycje: 10 000 USD</w:t>
            </w:r>
          </w:p>
        </w:tc>
        <w:tc>
          <w:tcPr>
            <w:tcW w:w="2420" w:type="dxa"/>
            <w:vAlign w:val="bottom"/>
            <w:tcBorders>
              <w:top w:val="single" w:sz="8" w:color="002453"/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2400" w:type="dxa"/>
            <w:vAlign w:val="bottom"/>
            <w:tcBorders>
              <w:top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Wyjście z programu po 5 latach</w:t>
            </w:r>
          </w:p>
        </w:tc>
        <w:tc>
          <w:tcPr>
            <w:tcW w:w="4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ogółem</w:t>
            </w:r>
          </w:p>
        </w:tc>
        <w:tc>
          <w:tcPr>
            <w:tcW w:w="242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85"/>
              </w:rPr>
              <w:t xml:space="preserve">12 USD</w:t>
            </w:r>
          </w:p>
        </w:tc>
        <w:tc>
          <w:tcPr>
            <w:tcW w:w="2440" w:type="dxa"/>
            <w:vAlign w:val="bottom"/>
            <w:gridSpan w:val="3"/>
          </w:tcPr>
          <w:p>
            <w:pPr xmlns:w="http://schemas.openxmlformats.org/wordprocessingml/2006/main"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2"/>
              </w:rPr>
              <w:t xml:space="preserve">77 USD</w:t>
            </w: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Roczny wpływ na koszty (*)</w:t>
            </w:r>
          </w:p>
        </w:tc>
        <w:tc>
          <w:tcPr>
            <w:tcW w:w="242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76"/>
              </w:rPr>
              <w:t xml:space="preserve">0.1%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76"/>
              </w:rPr>
              <w:t xml:space="preserve">0.1%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7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 w:firstLine="6"/>
        <w:spacing w:after="0" w:line="256" w:lineRule="auto"/>
        <w:tabs>
          <w:tab w:leader="none" w:pos="303" w:val="left"/>
        </w:tabs>
        <w:numPr>
          <w:ilvl w:val="0"/>
          <w:numId w:val="2"/>
        </w:numPr>
        <w:rPr>
          <w:rFonts w:ascii="Arial" w:cs="Arial" w:eastAsia="Arial" w:hAnsi="Arial"/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Na przykład pokazuje to, że jeśli opuścisz zakład w zalecanym okresie utrzymywania, średni roczny zwrot z inwestycji wyniesie 5.8% przed kosztami i 5.7% po kosztach.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1477645</wp:posOffset>
                </wp:positionV>
                <wp:extent cx="684022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116.35pt" to="540pt,116.35pt" o:allowincell="f" strokecolor="#B4B4B4" strokeweight="0.95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002453"/>
        </w:rPr>
        <w:t xml:space="preserve">Strona 2 z 3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 7 kwietnia 2023</w:t>
      </w:r>
    </w:p>
    <w:p>
      <w:pPr>
        <w:sectPr>
          <w:pgSz w:w="11900" w:h="16840" w:orient="portrait"/>
          <w:cols w:equalWidth="0" w:num="1">
            <w:col w:w="10840"/>
          </w:cols>
          <w:pgMar w:left="540" w:top="402" w:right="520" w:bottom="0" w:gutter="0" w:footer="0" w:header="0"/>
        </w:sectPr>
      </w:pPr>
    </w:p>
    <w:bookmarkStart w:id="2" w:name="page3"/>
    <w:bookmarkEnd w:id="2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Invesco Physical Gold ETC, (IE00B579F325)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35560</wp:posOffset>
                </wp:positionV>
                <wp:extent cx="6840220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2.8pt" to="539pt,2.8pt" o:allowincell="f" strokecolor="#B4B4B4" strokeweight="0.9599pt"/>
            </w:pict>
          </mc:Fallback>
        </mc:AlternateContent>
      </w:r>
    </w:p>
    <w:p>
      <w:pPr>
        <w:spacing w:after="0" w:line="25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b w:val="1"/>
          <w:bCs w:val="1"/>
          <w:color w:val="auto"/>
        </w:rPr>
        <w:t xml:space="preserve">Struktura kosztów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68580</wp:posOffset>
                </wp:positionV>
                <wp:extent cx="684085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5.4pt" to="538.85pt,5.4pt" o:allowincell="f" strokecolor="#002453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2938145</wp:posOffset>
                </wp:positionV>
                <wp:extent cx="684085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231.35pt" to="538.85pt,231.35pt" o:allowincell="f" strokecolor="#002453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5485765</wp:posOffset>
                </wp:positionH>
                <wp:positionV relativeFrom="paragraph">
                  <wp:posOffset>62230</wp:posOffset>
                </wp:positionV>
                <wp:extent cx="0" cy="309245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9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31.95pt,4.9pt" to="431.95pt,248.4pt" o:allowincell="f" strokecolor="#002453" strokeweight="0.9599pt"/>
            </w:pict>
          </mc:Fallback>
        </mc:AlternateContent>
      </w:r>
    </w:p>
    <w:p>
      <w:pPr>
        <w:spacing w:after="0" w:line="3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8"/>
        </w:trPr>
        <w:tc>
          <w:tcPr>
            <w:tcW w:w="856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EB6852"/>
              </w:rPr>
              <w:t xml:space="preserve">Jedneodoksztalcesuponentryororexit</w:t>
            </w:r>
          </w:p>
        </w:tc>
        <w:tc>
          <w:tcPr>
            <w:tcW w:w="2240" w:type="dxa"/>
            <w:vAlign w:val="bottom"/>
          </w:tcPr>
          <w:p>
            <w:pPr xmlns:w="http://schemas.openxmlformats.org/wordprocessingml/2006/main"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26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wejścia</w:t>
            </w:r>
          </w:p>
        </w:tc>
        <w:tc>
          <w:tcPr>
            <w:tcW w:w="596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pobieramy opłaty za wstęp na ten produkt, ale osoba sprzedająca</w:t>
            </w:r>
          </w:p>
        </w:tc>
        <w:tc>
          <w:tcPr>
            <w:tcW w:w="2240" w:type="dxa"/>
            <w:vAlign w:val="bottom"/>
            <w:vMerge w:val="restart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Produkt może to zrobić.</w:t>
            </w:r>
          </w:p>
        </w:tc>
        <w:tc>
          <w:tcPr>
            <w:tcW w:w="2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wyjścia</w:t>
            </w:r>
          </w:p>
        </w:tc>
        <w:tc>
          <w:tcPr>
            <w:tcW w:w="596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pobieramy opłaty za wyjście z tego produktu, ale osoba sprzedająca</w:t>
            </w:r>
          </w:p>
        </w:tc>
        <w:tc>
          <w:tcPr>
            <w:tcW w:w="2240" w:type="dxa"/>
            <w:vAlign w:val="bottom"/>
            <w:vMerge w:val="restart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Produkt może to zrobić.</w:t>
            </w:r>
          </w:p>
        </w:tc>
        <w:tc>
          <w:tcPr>
            <w:tcW w:w="2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850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Koszty bieżące ponoszone każdego roku</w:t>
            </w:r>
          </w:p>
        </w:tc>
        <w:tc>
          <w:tcPr>
            <w:tcW w:w="2300" w:type="dxa"/>
            <w:vAlign w:val="bottom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6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9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Opłaty za zarządzanie i inne</w:t>
            </w:r>
          </w:p>
        </w:tc>
        <w:tc>
          <w:tcPr>
            <w:tcW w:w="590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0.12%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Jest to szacunek oparty na</w:t>
            </w: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administracyjne lub operacyjne</w:t>
            </w:r>
          </w:p>
        </w:tc>
        <w:tc>
          <w:tcPr>
            <w:tcW w:w="5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vMerge w:val="restart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12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0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rzeczywiste koszty w ciągu ostatniego roku.</w:t>
            </w:r>
          </w:p>
        </w:tc>
        <w:tc>
          <w:tcPr>
            <w:tcW w:w="2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</w:t>
            </w:r>
          </w:p>
        </w:tc>
        <w:tc>
          <w:tcPr>
            <w:tcW w:w="59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9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transakcyjne</w:t>
            </w:r>
          </w:p>
        </w:tc>
        <w:tc>
          <w:tcPr>
            <w:tcW w:w="590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pobieramy kosztów transakcyjnych za zakup i sprzedaż instrumentu bazowego</w:t>
            </w:r>
          </w:p>
        </w:tc>
        <w:tc>
          <w:tcPr>
            <w:tcW w:w="2300" w:type="dxa"/>
            <w:vAlign w:val="bottom"/>
            <w:vMerge w:val="restart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0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inwestycji w produkt.</w:t>
            </w:r>
          </w:p>
        </w:tc>
        <w:tc>
          <w:tcPr>
            <w:tcW w:w="2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9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4"/>
        </w:trPr>
        <w:tc>
          <w:tcPr>
            <w:tcW w:w="850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Koszty uboczne ponoszone na określonych warunkach</w:t>
            </w:r>
          </w:p>
        </w:tc>
        <w:tc>
          <w:tcPr>
            <w:tcW w:w="2300" w:type="dxa"/>
            <w:vAlign w:val="bottom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1645285</wp:posOffset>
                </wp:positionH>
                <wp:positionV relativeFrom="paragraph">
                  <wp:posOffset>135255</wp:posOffset>
                </wp:positionV>
                <wp:extent cx="0" cy="22225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2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29.55pt,10.65pt" to="129.55pt,28.15pt" o:allowincell="f" strokecolor="#002453" strokeweight="0.9599pt"/>
            </w:pict>
          </mc:Fallback>
        </mc:AlternateContent>
      </w:r>
    </w:p>
    <w:p>
      <w:pPr>
        <w:sectPr>
          <w:pgSz w:w="11900" w:h="16840" w:orient="portrait"/>
          <w:cols w:equalWidth="0" w:num="1">
            <w:col w:w="10780"/>
          </w:cols>
          <w:pgMar w:left="560" w:top="402" w:right="560" w:bottom="0" w:gutter="0" w:footer="0" w:header="0"/>
        </w:sectPr>
      </w:pPr>
    </w:p>
    <w:p>
      <w:pPr>
        <w:spacing w:after="0" w:line="29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Opłaty za wyniki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Brak opłaty za wydajność dla tego produktu.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-1758950</wp:posOffset>
                </wp:positionH>
                <wp:positionV relativeFrom="paragraph">
                  <wp:posOffset>48260</wp:posOffset>
                </wp:positionV>
                <wp:extent cx="6849745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97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38.4999pt,3.8pt" to="400.85pt,3.8pt" o:allowincell="f" strokecolor="#002453" strokeweight="0.96pt"/>
            </w:pict>
          </mc:Fallback>
        </mc:AlternateConten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0 USD</w:t>
      </w: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3">
            <w:col w:w="2040" w:space="720"/>
            <w:col w:w="5320" w:space="720"/>
            <w:col w:w="1980"/>
          </w:cols>
          <w:pgMar w:left="560" w:top="402" w:right="560" w:bottom="0" w:gutter="0" w:footer="0" w:header="0"/>
          <w:type w:val="continuous"/>
        </w:sectPr>
      </w:pPr>
    </w:p>
    <w:p>
      <w:pPr>
        <w:spacing w:after="0" w:line="1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Jak długo powinienem go trzymać i czy mogę wcześnie zabrać pieniądze?</w:t>
      </w:r>
    </w:p>
    <w:p>
      <w:pPr>
        <w:spacing w:after="0" w:line="1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Zalecany okres przechowywania: 5 lat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Ten produkt nie ma wymaganego minimalnego okresu utrzymywania, jednak jako zalecany okres utrzymywania wybraliśmy 5 lat, ponieważ produkt inwestuje długoterminowo, dlatego należy być przygotowanym na utrzymanie inwestycji przez co najmniej 5 lat.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W tym okresie możesz sprzedać swoje udziały w produkcie, pod warunkiem spełnienia określonych kryteriów określonych w prospekcie emisyjnym, lub utrzymać inwestycję dłużej.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Jeśli sprzedasz część lub całość swojej inwestycji przed upływem 5 lat, produkt będzie mniej prawdopodobny do osiągnięcia swoich celów, jednak nie poniesiesz żadnych dodatkowych kosztów, czyniąc to.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207645</wp:posOffset>
                </wp:positionV>
                <wp:extent cx="684022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6.35pt" to="539pt,16.3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Jak mogę złożyć skargę?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Jeśli masz jakiekolwiek skargi dotyczące produktu lub postępowania producenta lub osoby doradzającej lub sprzedającej produkt, możesz złożyć skargę na jeden z trzech sposobów: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60" w:hanging="256"/>
        <w:spacing w:after="0"/>
        <w:tabs>
          <w:tab w:leader="none" w:pos="260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Możesz skontaktować się z nami telefonicznie pod numerem +44 020 3370 1100, a my zapiszemy Twoją reklamację i wyjaśnimy, co zrobić.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 xmlns:w="http://schemas.openxmlformats.org/wordprocessingml/2006/main">
        <w:ind w:left="300" w:hanging="296"/>
        <w:spacing w:after="0"/>
        <w:tabs>
          <w:tab w:leader="none" w:pos="300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Reklamację możesz zarejestrować za pośrednictwem poczty elektronicznej na stronie </w:t>
      </w: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Legaletf@invesco.com</w:t>
      </w:r>
    </w:p>
    <w:p>
      <w:pPr>
        <w:spacing w:after="0" w:line="1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 xmlns:w="http://schemas.openxmlformats.org/wordprocessingml/2006/main">
        <w:ind w:firstLine="4"/>
        <w:spacing w:after="0" w:line="244" w:lineRule="auto"/>
        <w:tabs>
          <w:tab w:leader="none" w:pos="298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Skargę można przesłać na piśmie do Działu Prawnego ETF, Invesco, Portman Square House, 43 45 Portman Square, London W1H 6LY, UK.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210185</wp:posOffset>
                </wp:positionV>
                <wp:extent cx="684022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6.55pt" to="539pt,16.5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Inne istotne informacje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Informacje dodatkowe: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Jesteśmy zobowiązani do przekazania dalszych informacji, takich jak prospekt emisyjny, najnowszy raport roczny i wszelkie późniejsze sprawozdania okresowe.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Te dokumenty i inne praktyczne informacje są dostępne bezpłatnie na stronie </w:t>
      </w: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etf.invesco.com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(wybierz swój kraj i przejdź do Biblioteki).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Wydajność w przeszłości: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Na naszej stronie internetowej pod adresem </w:t>
      </w: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https://www.invesco.com/emea/en/priips.html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można obejrzeć wyniki z przeszłości dotyczące klasy akcji, która obejmuje okres od uruchomienia klasy akcji do maksymalnie 10 lat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.</w:t>
      </w:r>
    </w:p>
    <w:p>
      <w:pPr>
        <w:spacing w:after="0" w:line="7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Poprzednie scenariusze wydajności: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Możesz obejrzeć poprzednie scenariusze wydajności klasy Share w ciągu ostatnich 12 miesięcy na naszej stronie internetowej pod adresem </w:t>
      </w: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https://www.invesco.com/emea/en/priips.html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1499870</wp:posOffset>
                </wp:positionV>
                <wp:extent cx="6840220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18.1pt" to="539pt,118.1pt" o:allowincell="f" strokecolor="#B4B4B4" strokeweight="0.95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002453"/>
        </w:rPr>
        <w:t xml:space="preserve">Strona 3 z 3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 7 kwietnia 2023</w:t>
      </w:r>
    </w:p>
    <w:sectPr>
      <w:pgSz w:w="11900" w:h="16840" w:orient="portrait"/>
      <w:cols w:equalWidth="0" w:num="1">
        <w:col w:w="10780"/>
      </w:cols>
      <w:pgMar w:left="560" w:top="402" w:right="56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F92D3FF"/>
    <w:multiLevelType w:val="hybridMultilevel"/>
    <w:lvl w:ilvl="0">
      <w:lvlJc w:val="left"/>
      <w:lvlText w:val="¹"/>
      <w:numFmt w:val="bullet"/>
      <w:start w:val="1"/>
    </w:lvl>
  </w:abstractNum>
  <w:abstractNum w:abstractNumId="1">
    <w:nsid w:val="4F4C4E23"/>
    <w:multiLevelType w:val="hybridMultilevel"/>
    <w:lvl w:ilvl="0">
      <w:lvlJc w:val="left"/>
      <w:lvlText w:val="(*)"/>
      <w:numFmt w:val="bullet"/>
      <w:start w:val="1"/>
    </w:lvl>
  </w:abstractNum>
  <w:abstractNum w:abstractNumId="2">
    <w:nsid w:val="7317FEF7"/>
    <w:multiLevelType w:val="hybridMultilevel"/>
    <w:lvl w:ilvl="0">
      <w:lvlJc w:val="left"/>
      <w:lvlText w:val="(%1)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2024-05-21T08:58:26Z</dcterms:created>
  <dcterms:modified xsi:type="dcterms:W3CDTF">2024-05-21T08:58:26Z</dcterms:modified>
</cp:coreProperties>
</file>