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("Fundusz")</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Dystrybucja</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Kierownik: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Fundusz stosuje pasywne zarządzanie - lub indeksowanie - podejście inwestycyjne poprzez fizyczne nabywanie papierów wartościowych i dąży do śledzenia wyników Indeksu Standard and Poor's 500 ("Indeks").</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Indeks obejmuje akcje dużych spółek w Stanach Zjednoczonych.</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we wszystkie papiery wartościowe wchodzące w skład Indeksu w takiej samej proporcji jak Indeks.</w:t>
      </w:r>
      <w:r>
        <w:rPr xmlns:w="http://schemas.openxmlformats.org/wordprocessingml/2006/main">
          <w:rFonts w:ascii="Arial" w:cs="Arial" w:eastAsia="Arial" w:hAnsi="Arial"/>
          <w:sz w:val="16"/>
          <w:szCs w:val="16"/>
          <w:color w:val="231F20"/>
        </w:rPr>
        <w:t xml:space="preserve"> Jeżeli pełne odtworzenie wyników nie jest wykonalne, Fundusz stosuje procedurę doboru próby.</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inwestuje w papiery wartościowe denominowane w walutach innych niż waluta notowania.</w:t>
      </w:r>
      <w:r>
        <w:rPr xmlns:w="http://schemas.openxmlformats.org/wordprocessingml/2006/main">
          <w:rFonts w:ascii="Arial" w:cs="Arial" w:eastAsia="Arial" w:hAnsi="Arial"/>
          <w:sz w:val="16"/>
          <w:szCs w:val="16"/>
          <w:color w:val="231F20"/>
        </w:rPr>
        <w:t xml:space="preserve"> Zmiany kursów walut mogą wpływać na zwrot z inwestycji.</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Przychody z tytułu Akcji ETF będą z reguły wypłacane kwartalnie.</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emisyjnym inwestorzy, którzy nie są uprawnionymi uczestnikami, mogą sprzedawać Akcje ETF wyłącznie za pośrednictwem spółki będącej członkiem odpowiedniej giełdy w dowolnym momencie, gdy ta giełda jest otwarta na prowadzenie działalności.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Prospektu na naszej stronie internetowej pod adresem</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wskazanie przyszłego profilu ryzyka Funduszu.</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wymienionych poniżej rodzajów ryzyka.</w:t>
      </w:r>
      <w:r>
        <w:rPr xmlns:w="http://schemas.openxmlformats.org/wordprocessingml/2006/main">
          <w:rFonts w:ascii="Arial" w:cs="Arial" w:eastAsia="Arial" w:hAnsi="Arial"/>
          <w:sz w:val="16"/>
          <w:szCs w:val="16"/>
          <w:color w:val="231F20"/>
        </w:rPr>
        <w:t xml:space="preserve"> Czynniki te mogą mieć wpływ na wartość</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inwestycji lub narazić Fundusz na straty.</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ryzyka związane z inwestowaniem w Fundusz:</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takich jak przechowywanie aktywów lub działanie jako kontrahent instrumentów pochodnych lub</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innych instrumentów, może narazić Fundusz na straty finansowe.</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Oczekuje się jednak, że fundusz będzie generował wyniki inwestycyjne, które przed wydatkami zasadniczo odpowiadają wynikom indeksu w zakresie ceny i rentowności.</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W związku z tym, że Fundusz stosuje technikę indeksowania prób</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przy czym wybiera się reprezentatywną próbę papierów wartościowych do reprezentowania</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ryzyka, że papiery wartościowe wybrane do Funduszu mogą</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nie, w ujęciu zagregowanym, w przybliżeniu pełny indeks.</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Więcej informacji na temat ryzyk znajduje się w punkcie "Czynniki ryzyka"</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2012 roku.</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2012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CA681A5"/>
    <w:multiLevelType w:val="hybridMultilevel"/>
    <w:lvl w:ilvl="0">
      <w:lvlJc w:val="left"/>
      <w:lvlText w:val="%1"/>
      <w:numFmt w:val="decimal"/>
      <w:start w:val="2"/>
    </w:lvl>
  </w:abstractNum>
  <w:abstractNum w:abstractNumId="1">
    <w:nsid w:val="5BF39B94"/>
    <w:multiLevelType w:val="hybridMultilevel"/>
    <w:lvl w:ilvl="0">
      <w:lvlJc w:val="left"/>
      <w:lvlText w:val="%1"/>
      <w:numFmt w:val="decimal"/>
      <w:start w:val="2"/>
    </w:lvl>
    <w:lvl w:ilvl="1">
      <w:lvlJc w:val="left"/>
      <w:lvlText w:val="%2."/>
      <w:numFmt w:val="decimal"/>
      <w:start w:val="1"/>
    </w:lvl>
  </w:abstractNum>
  <w:abstractNum w:abstractNumId="2">
    <w:nsid w:val="57462179"/>
    <w:multiLevelType w:val="hybridMultilevel"/>
    <w:lvl w:ilvl="0">
      <w:lvlJc w:val="left"/>
      <w:lvlText w:val="%1"/>
      <w:numFmt w:val="decimal"/>
      <w:start w:val="2"/>
    </w:lvl>
  </w:abstractNum>
  <w:abstractNum w:abstractNumId="3">
    <w:nsid w:val="2A0D9A72"/>
    <w:multiLevelType w:val="hybridMultilevel"/>
    <w:lvl w:ilvl="0">
      <w:lvlJc w:val="left"/>
      <w:lvlText w:val="%1"/>
      <w:numFmt w:val="decimal"/>
      <w:start w:val="2"/>
    </w:lvl>
  </w:abstractNum>
  <w:abstractNum w:abstractNumId="4">
    <w:nsid w:val="5081B94C"/>
    <w:multiLevelType w:val="hybridMultilevel"/>
    <w:lvl w:ilvl="0">
      <w:lvlJc w:val="left"/>
      <w:lvlText w:val="%1"/>
      <w:numFmt w:val="decimal"/>
      <w:start w:val="2"/>
    </w:lvl>
  </w:abstractNum>
  <w:abstractNum w:abstractNumId="5">
    <w:nsid w:val="4EA1B1B6"/>
    <w:multiLevelType w:val="hybridMultilevel"/>
    <w:lvl w:ilvl="0">
      <w:lvlJc w:val="left"/>
      <w:lvlText w:val="%1"/>
      <w:numFmt w:val="decimal"/>
      <w:start w:val="2"/>
    </w:lvl>
  </w:abstractNum>
  <w:abstractNum w:abstractNumId="6">
    <w:nsid w:val="5F34F8B"/>
    <w:multiLevelType w:val="hybridMultilevel"/>
    <w:lvl w:ilvl="0">
      <w:lvlJc w:val="left"/>
      <w:lvlText w:val="%1"/>
      <w:numFmt w:val="decimal"/>
      <w:start w:val="2"/>
    </w:lvl>
  </w:abstractNum>
  <w:abstractNum w:abstractNumId="7">
    <w:nsid w:val="40989ECB"/>
    <w:multiLevelType w:val="hybridMultilevel"/>
    <w:lvl w:ilvl="0">
      <w:lvlJc w:val="left"/>
      <w:lvlText w:val="%1"/>
      <w:numFmt w:val="decimal"/>
      <w:start w:val="2"/>
    </w:lvl>
  </w:abstractNum>
  <w:abstractNum w:abstractNumId="8">
    <w:nsid w:val="246E70CB"/>
    <w:multiLevelType w:val="hybridMultilevel"/>
    <w:lvl w:ilvl="0">
      <w:lvlJc w:val="left"/>
      <w:lvlText w:val="%1"/>
      <w:numFmt w:val="decimal"/>
      <w:start w:val="2"/>
    </w:lvl>
  </w:abstractNum>
  <w:abstractNum w:abstractNumId="9">
    <w:nsid w:val="513F59E2"/>
    <w:multiLevelType w:val="hybridMultilevel"/>
    <w:lvl w:ilvl="0">
      <w:lvlJc w:val="left"/>
      <w:lvlText w:val="%1"/>
      <w:numFmt w:val="decimal"/>
      <w:start w:val="2"/>
    </w:lvl>
  </w:abstractNum>
  <w:abstractNum w:abstractNumId="10">
    <w:nsid w:val="6206E884"/>
    <w:multiLevelType w:val="hybridMultilevel"/>
    <w:lvl w:ilvl="0">
      <w:lvlJc w:val="left"/>
      <w:lvlText w:val="%1"/>
      <w:numFmt w:val="decimal"/>
      <w:start w:val="2"/>
    </w:lvl>
  </w:abstractNum>
  <w:abstractNum w:abstractNumId="11">
    <w:nsid w:val="5C956A2A"/>
    <w:multiLevelType w:val="hybridMultilevel"/>
    <w:lvl w:ilvl="0">
      <w:lvlJc w:val="left"/>
      <w:lvlText w:val="-"/>
      <w:numFmt w:val="bullet"/>
      <w:start w:val="1"/>
    </w:lvl>
  </w:abstractNum>
  <w:abstractNum w:abstractNumId="12">
    <w:nsid w:val="7FBAB039"/>
    <w:multiLevelType w:val="hybridMultilevel"/>
    <w:lvl w:ilvl="0">
      <w:lvlJc w:val="left"/>
      <w:lvlText w:val="%1"/>
      <w:numFmt w:val="decimal"/>
      <w:start w:val="2"/>
    </w:lvl>
  </w:abstractNum>
  <w:abstractNum w:abstractNumId="13">
    <w:nsid w:val="5154F044"/>
    <w:multiLevelType w:val="hybridMultilevel"/>
    <w:lvl w:ilvl="0">
      <w:lvlJc w:val="left"/>
      <w:lvlText w:val="%1"/>
      <w:numFmt w:val="decimal"/>
      <w:start w:val="2"/>
    </w:lvl>
  </w:abstractNum>
  <w:abstractNum w:abstractNumId="14">
    <w:nsid w:val="13ADBA41"/>
    <w:multiLevelType w:val="hybridMultilevel"/>
    <w:lvl w:ilvl="0">
      <w:lvlJc w:val="left"/>
      <w:lvlText w:val="*"/>
      <w:numFmt w:val="bullet"/>
      <w:start w:val="1"/>
    </w:lvl>
  </w:abstractNum>
  <w:abstractNum w:abstractNumId="15">
    <w:nsid w:val="5157633E"/>
    <w:multiLevelType w:val="hybridMultilevel"/>
    <w:lvl w:ilvl="0">
      <w:lvlJc w:val="left"/>
      <w:lvlText w:val="%1"/>
      <w:numFmt w:val="decimal"/>
      <w:start w:val="2"/>
    </w:lvl>
  </w:abstractNum>
  <w:abstractNum w:abstractNumId="16">
    <w:nsid w:val="2D87D134"/>
    <w:multiLevelType w:val="hybridMultilevel"/>
    <w:lvl w:ilvl="0">
      <w:lvlJc w:val="left"/>
      <w:lvlText w:val="%1"/>
      <w:numFmt w:val="decimal"/>
      <w:start w:val="2"/>
    </w:lvl>
  </w:abstractNum>
  <w:abstractNum w:abstractNumId="17">
    <w:nsid w:val="7100B7E2"/>
    <w:multiLevelType w:val="hybridMultilevel"/>
    <w:lvl w:ilvl="0">
      <w:lvlJc w:val="left"/>
      <w:lvlText w:val="%1"/>
      <w:numFmt w:val="decimal"/>
      <w:start w:val="2"/>
    </w:lvl>
  </w:abstractNum>
  <w:abstractNum w:abstractNumId="18">
    <w:nsid w:val="64027AD"/>
    <w:multiLevelType w:val="hybridMultilevel"/>
    <w:lvl w:ilvl="0">
      <w:lvlJc w:val="left"/>
      <w:lvlText w:val="%1"/>
      <w:numFmt w:val="decimal"/>
      <w:start w:val="2"/>
    </w:lvl>
  </w:abstractNum>
  <w:abstractNum w:abstractNumId="19">
    <w:nsid w:val="706B7C8B"/>
    <w:multiLevelType w:val="hybridMultilevel"/>
    <w:lvl w:ilvl="0">
      <w:lvlJc w:val="left"/>
      <w:lvlText w:val="%1"/>
      <w:numFmt w:val="decimal"/>
      <w:start w:val="2"/>
    </w:lvl>
  </w:abstractNum>
  <w:abstractNum w:abstractNumId="20">
    <w:nsid w:val="7FA63202"/>
    <w:multiLevelType w:val="hybridMultilevel"/>
    <w:lvl w:ilvl="0">
      <w:lvlJc w:val="left"/>
      <w:lvlText w:val="%1"/>
      <w:numFmt w:val="decimal"/>
      <w:start w:val="2"/>
    </w:lvl>
  </w:abstractNum>
  <w:abstractNum w:abstractNumId="21">
    <w:nsid w:val="7857D3BB"/>
    <w:multiLevelType w:val="hybridMultilevel"/>
    <w:lvl w:ilvl="0">
      <w:lvlJc w:val="left"/>
      <w:lvlText w:val="%1"/>
      <w:numFmt w:val="decimal"/>
      <w:start w:val="2"/>
    </w:lvl>
  </w:abstractNum>
  <w:abstractNum w:abstractNumId="22">
    <w:nsid w:val="5AD07A68"/>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2024-05-21T10:06:17Z</dcterms:created>
  <dcterms:modified xsi:type="dcterms:W3CDTF">2024-05-21T10:06:17Z</dcterms:modified>
</cp:coreProperties>
</file>