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626110</wp:posOffset>
                </wp:positionH>
                <wp:positionV relativeFrom="page">
                  <wp:posOffset>463550</wp:posOffset>
                </wp:positionV>
                <wp:extent cx="677735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7735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9.3pt;margin-top:36.5pt;width:533.6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463550</wp:posOffset>
                </wp:positionV>
                <wp:extent cx="6682740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82740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53.05pt;margin-top:36.5pt;width:526.2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78942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83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962660</wp:posOffset>
                </wp:positionV>
                <wp:extent cx="678942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75.8pt" to="583.4pt,7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1837690</wp:posOffset>
                </wp:positionV>
                <wp:extent cx="678942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144.7pt" to="583.4pt,144.7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3052445</wp:posOffset>
                </wp:positionV>
                <wp:extent cx="678942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240.35pt" to="583.4pt,240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3911600</wp:posOffset>
                </wp:positionV>
                <wp:extent cx="678942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08pt" to="583.4pt,30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874776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47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724.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7406640</wp:posOffset>
                </wp:positionH>
                <wp:positionV relativeFrom="page">
                  <wp:posOffset>457200</wp:posOffset>
                </wp:positionV>
                <wp:extent cx="0" cy="874776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47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3.2pt,36pt" to="583.2pt,724.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Kontrakt Terminowy Typu Long Commodity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25400</wp:posOffset>
                </wp:positionV>
                <wp:extent cx="677672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672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6499pt;margin-top:2pt;width:533.6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00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Kontrakty terminowe na towary ze Stanów Zjednoczonych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przekazuje niniejszy dokument na podstawie Rozporządzenia UE nr 1286/2014 dla kontraktów terminowych na towary.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Kontrakty terminowe na towary są notowane i znajdują się w obrocie na amerykańskich giełdach kontraktów terminowych, które są wyznaczonymi rynkami kontraktów regulowanymi przez amerykańską Komisję ds. Obrotu Kontraktami Terminowymi na Towary ("CFTC") i są rozliczane i rozliczane przez OCC, organizację rozliczającą instrumenty pochodne zarejestrowaną na CFTC.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kontraktów terminowych, inwestorzy mogą znaleźć na stronie internetowej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Ostatnia aktualizacja: 28 grudnia 2022 r. i 20 kwietnia 2023 r.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prowadzić obrotu kontraktami terminowymi na towary giełdowe, dopóki nie zapoznają się z treścią niniejszego dokumentu i wszelkimi dodatkowymi informacjami ujawnianymi przez ich brokera, których istotą mogą być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Jednolite kontrakty terminowe i opcje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Stowarzyszenia Branży Kontraktów Terminowych na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 ujawnianie ryzyka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https://lc.fia.org/uniform-futures-and-options-futures-risk-disclosures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należy interpretować w sposób spójny z tymi ujawnieniami.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20955</wp:posOffset>
                </wp:positionV>
                <wp:extent cx="6776720" cy="528383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6720" cy="528383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6499pt;margin-top:1.65pt;width:533.6pt;height:416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6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Towarowy kontrakt terminowy typu futures to umowa między dwiema stronami dotycząca zakupu lub sprzedaży określonej z góry kwoty towaru po określonej cenie w dacie przyszłej.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Osoba, która kupuje towarowy kontrakt terminowy typu futures, zawiera umowę kupna towaru bazowego i mówi się, że jest to "długa" umowa.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towar bazowy jest zatem pośrednia, ponieważ wartość przyszłej transakcji pochodzi od wartości towaru bazowego.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zapadalności kontraktów terminowych na towary różnią się.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przyszłości.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 amerykańska giełda kontraktów terminowych, na której realizowana jest transakcja, może zmienić warunki kontraktu terminowego lub rozwiązać umowę.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Zdarzenie dotyczące towaru bazowego może również skutkować zmianą warunków kontraktu terminowego zgodnie z zasadami RKO, a metodologia może różnić się od metodologii stosowanej na rynkach europejskich.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3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Długi kontrakt terminowy na towary to umowa zakupu określonej z góry kwoty towaru po z góry określonej cenie w określonym terminie przyszłym.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Kupujący zazwyczaj nabywa długi towarowy kontrakt terminowy typu futures, oczekując, że cena towaru bazowego wzrośnie o termin zapadalności kontraktu.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Kupujący zrealizuje zysk brutto, jeżeli wartość towaru bazowego wzrosła do momentu zamknięcia transakcji w przyszłości i zrealizuje stratę brutto, jeżeli spadnie.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ma rekomendowanego okresu utrzymywania kontraktów terminowych na towary.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Kupujący i sprzedający mogą odnosić zyski lub straty w dowolnym momencie, do terminu zapadalności przyszłości włącznie.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Podczas gdy kontrakt terminowy typu future na towary ma z góry określony termin zapadalności, otwartą pozycję można zamknąć, zawierając transakcję kompensacyjną przed terminem zapadalności kontraktu.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Kontrakty terminowe na towary, które nie zostały zlikwidowane przed wygaśnięciem, muszą być rozliczane zgodnie z warunkami kontraktu, co może wymagać rozliczenia gotówkowego.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towarowych kontraktów terminowych rozliczanych w drodze rozrachunku gotówkowego wszelkie pozycje w towarowych kontraktach terminowych otwartych na koniec ostatniego dnia handlowego są rozliczane w drodze ostatecznej płatności gotówkowej opartej na ostatecznej cenie rozliczeniowej bazowego towaru.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przyszłą wartość towaru to wartość instrumentu bazowego oraz jego podatność na wahania cen (zmienność).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6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określonego rodzaju inwestorów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Towarowe kontrakty terminowe typu future nie są odpowiednie dla wszystkich inwestorów i są przeznaczone wyłącznie dla inwestorów, którzy posiadają gruntowną wiedzę na temat produktu i mogą ponosić potencjalne straty z nim związane oraz związaną z nim strategię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17780</wp:posOffset>
                </wp:positionV>
                <wp:extent cx="678878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8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1499pt,1.4pt" to="529.4pt,1.4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480"/>
          </w:cols>
          <w:pgMar w:left="1080" w:top="699" w:right="680" w:bottom="812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709930</wp:posOffset>
                </wp:positionH>
                <wp:positionV relativeFrom="page">
                  <wp:posOffset>6688455</wp:posOffset>
                </wp:positionV>
                <wp:extent cx="669925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9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.9pt,526.65pt" to="583.4pt,526.65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6682740</wp:posOffset>
                </wp:positionV>
                <wp:extent cx="0" cy="154940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15494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4pt,526.2pt" to="56.4pt,648.2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3863340</wp:posOffset>
                </wp:positionH>
                <wp:positionV relativeFrom="page">
                  <wp:posOffset>6682740</wp:posOffset>
                </wp:positionV>
                <wp:extent cx="0" cy="154940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15494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4.2pt,526.2pt" to="304.2pt,648.2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5628005</wp:posOffset>
                </wp:positionH>
                <wp:positionV relativeFrom="page">
                  <wp:posOffset>7560310</wp:posOffset>
                </wp:positionV>
                <wp:extent cx="1781175" cy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7811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3.15pt,595.3pt" to="583.4pt,595.3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5633720</wp:posOffset>
                </wp:positionH>
                <wp:positionV relativeFrom="page">
                  <wp:posOffset>6682740</wp:posOffset>
                </wp:positionV>
                <wp:extent cx="0" cy="154940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15494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3.6pt,526.2pt" to="443.6pt,648.2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709930</wp:posOffset>
                </wp:positionH>
                <wp:positionV relativeFrom="page">
                  <wp:posOffset>8226425</wp:posOffset>
                </wp:positionV>
                <wp:extent cx="669925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9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.9pt,647.75pt" to="583.4pt,647.7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789420" cy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83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8974455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74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742.6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7406640</wp:posOffset>
                </wp:positionH>
                <wp:positionV relativeFrom="page">
                  <wp:posOffset>457200</wp:posOffset>
                </wp:positionV>
                <wp:extent cx="0" cy="8974455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74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3.2pt,36pt" to="583.2pt,742.6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1200785</wp:posOffset>
            </wp:positionH>
            <wp:positionV relativeFrom="paragraph">
              <wp:posOffset>15875</wp:posOffset>
            </wp:positionV>
            <wp:extent cx="4895215" cy="191389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21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1200785</wp:posOffset>
            </wp:positionH>
            <wp:positionV relativeFrom="paragraph">
              <wp:posOffset>15875</wp:posOffset>
            </wp:positionV>
            <wp:extent cx="4895215" cy="191389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21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8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 lub więcej.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0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kontraktu terminowego na towary długie zależy od jego warunków, ale może się wiązać z następującymi czynnikami:</w:t>
      </w:r>
    </w:p>
    <w:p>
      <w:pPr>
        <w:spacing w:after="0" w:line="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40" w:right="160" w:hanging="230"/>
        <w:spacing w:after="0" w:line="205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Obrót kontraktami terminowymi na towary wiąże się z ryzykiem i może skutkować potencjalnie nieograniczonymi stratami, które są większe niż kwota zdeponowana jako depozyt początkowy.</w:t>
      </w:r>
    </w:p>
    <w:p>
      <w:pPr>
        <w:spacing w:after="0" w:line="78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right="60" w:hanging="230"/>
        <w:spacing w:after="0" w:line="217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Kontrakty terminowe na towary są produktami lewarowanymi.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Niewielkie zmiany cen w przyszłości mogą skutkować dużymi zyskami lub stratami.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Jeśli ruchy na rynkach kontraktów terminowych lub towaru bazowego obniżają wartość Twoich pozycji, możesz być natychmiast zobowiązany do złożenia dodatkowego depozytu zabezpieczającego, a Twoja pozycja może zostać przymusowo upłynniona ze stratą.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right="180" w:hanging="230"/>
        <w:spacing w:after="0" w:line="217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Jeśli obrót na giełdzie kontraktów terminowych na USA stanie się niedostępny, inwestorzy mogą nie być w stanie zamknąć terminowo pozycji na rynku kontraktów terminowych na towary.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Mogą zaistnieć sytuacje, w których ceny kontraktów terminowych nie będą utrzymywać zwyczajowych lub oczekiwanych relacji z cenami bazowych lub powiązanych z nimi udziałów.</w:t>
      </w:r>
    </w:p>
    <w:p>
      <w:pPr>
        <w:spacing w:after="0" w:line="1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hanging="230"/>
        <w:spacing w:after="0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74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20" w:hanging="210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obrotem lub realizacją kontraktów terminowych na towary będą rozliczane w dolarach amerykańskich, a w konsekwencji wyniki inwestycji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34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34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towarowych kontraktów terminowych.)</w:t>
      </w:r>
    </w:p>
    <w:p>
      <w:pPr>
        <w:sectPr>
          <w:pgSz w:w="12240" w:h="15840" w:orient="portrait"/>
          <w:cols w:equalWidth="0" w:num="1">
            <w:col w:w="10520"/>
          </w:cols>
          <w:pgMar w:left="1080" w:top="706" w:right="640" w:bottom="457" w:gutter="0" w:footer="0" w:header="0"/>
        </w:sectPr>
      </w:pPr>
    </w:p>
    <w:p>
      <w:pPr>
        <w:spacing w:after="0" w:line="120" w:lineRule="exact"/>
        <w:rPr>
          <w:sz w:val="20"/>
          <w:szCs w:val="20"/>
          <w:color w:val="auto"/>
        </w:rPr>
      </w:pPr>
    </w:p>
    <w:tbl>
      <w:tblPr>
        <w:tblLayout w:type="fixed"/>
        <w:tblInd w:w="1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72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1 000 $</w:t>
            </w: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D9D9D9"/>
            </w:tcBorders>
            <w:gridSpan w:val="4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 pozycji długich kontraktów terminowych</w:t>
            </w:r>
          </w:p>
        </w:tc>
        <w:tc>
          <w:tcPr>
            <w:tcW w:w="1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left w:val="single" w:sz="8" w:color="BFBFBF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</w:t>
            </w:r>
          </w:p>
        </w:tc>
        <w:tc>
          <w:tcPr>
            <w:tcW w:w="5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  <w:w w:val="98"/>
              </w:rPr>
              <w:t xml:space="preserve">500 $</w:t>
            </w:r>
          </w:p>
        </w:tc>
        <w:tc>
          <w:tcPr>
            <w:tcW w:w="480" w:type="dxa"/>
            <w:vAlign w:val="bottom"/>
            <w:tcBorders>
              <w:left w:val="single" w:sz="8" w:color="BFBFBF"/>
              <w:bottom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left w:val="single" w:sz="8" w:color="BFBFBF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480" w:type="dxa"/>
            <w:vAlign w:val="bottom"/>
            <w:tcBorders>
              <w:left w:val="single" w:sz="8" w:color="BFBFBF"/>
              <w:bottom w:val="single" w:sz="8" w:color="BFBFBF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BFBFBF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BFBFBF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BFBFBF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BFBFBF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left w:val="single" w:sz="8" w:color="BFBFBF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72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- 500 $</w:t>
            </w:r>
          </w:p>
        </w:tc>
        <w:tc>
          <w:tcPr>
            <w:tcW w:w="480" w:type="dxa"/>
            <w:vAlign w:val="bottom"/>
            <w:tcBorders>
              <w:left w:val="single" w:sz="8" w:color="BFBFBF"/>
              <w:bottom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left w:val="single" w:sz="8" w:color="BFBFBF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1"/>
        </w:trPr>
        <w:tc>
          <w:tcPr>
            <w:tcW w:w="72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  <w:w w:val="96"/>
              </w:rPr>
              <w:t xml:space="preserve">- 1000 $</w:t>
            </w:r>
          </w:p>
        </w:tc>
        <w:tc>
          <w:tcPr>
            <w:tcW w:w="480" w:type="dxa"/>
            <w:vAlign w:val="bottom"/>
            <w:tcBorders>
              <w:left w:val="single" w:sz="8" w:color="BFBFBF"/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40 $</w:t>
            </w:r>
          </w:p>
        </w:tc>
        <w:tc>
          <w:tcPr>
            <w:tcW w:w="100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45 $</w:t>
            </w:r>
          </w:p>
        </w:tc>
        <w:tc>
          <w:tcPr>
            <w:tcW w:w="130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6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50 $</w:t>
            </w:r>
          </w:p>
        </w:tc>
        <w:tc>
          <w:tcPr>
            <w:tcW w:w="66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55 $</w:t>
            </w:r>
          </w:p>
        </w:tc>
        <w:tc>
          <w:tcPr>
            <w:tcW w:w="640" w:type="dxa"/>
            <w:vAlign w:val="bottom"/>
            <w:gridSpan w:val="2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60 $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1149985</wp:posOffset>
            </wp:positionH>
            <wp:positionV relativeFrom="paragraph">
              <wp:posOffset>-855345</wp:posOffset>
            </wp:positionV>
            <wp:extent cx="1316990" cy="49403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Cena rynkowa bazowego towaru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Naprężony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Wcześniej ustalona cena w terminie zapadalności: $50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Rzeczywista cena rynkowa w terminie zapadalności: 45 USD</w:t>
      </w:r>
    </w:p>
    <w:p>
      <w:pPr>
        <w:spacing w:after="0" w:line="1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right="1080" w:hanging="144"/>
        <w:spacing w:after="0" w:line="219" w:lineRule="auto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5"/>
          <w:szCs w:val="15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Korzystny dla sprzedającego (krótki) + 500 USD</w:t>
      </w:r>
    </w:p>
    <w:p>
      <w:pPr xmlns:w="http://schemas.openxmlformats.org/wordprocessingml/2006/main">
        <w:ind w:left="280" w:hanging="144"/>
        <w:spacing w:after="0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kupującego (długi) - $500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Wcześniej ustalona cena w terminie zapadalności: $50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righ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Rzeczywista cena rynkowa w terminie zapadalności: 51 USD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 w:hanging="148"/>
        <w:spacing w:after="0"/>
        <w:tabs>
          <w:tab w:leader="none" w:pos="30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sprzedającego (krótki) - 100 USD</w:t>
      </w:r>
    </w:p>
    <w:p>
      <w:pPr>
        <w:spacing w:after="0" w:line="9" w:lineRule="exact"/>
        <w:rPr>
          <w:sz w:val="20"/>
          <w:szCs w:val="20"/>
          <w:color w:val="auto"/>
        </w:rPr>
      </w:pPr>
    </w:p>
    <w:tbl>
      <w:tblPr>
        <w:tblLayout w:type="fixed"/>
        <w:tblInd w:w="1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13"/>
        </w:trPr>
        <w:tc>
          <w:tcPr>
            <w:tcW w:w="1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 xmlns:w="http://schemas.openxmlformats.org/wordprocessingml/2006/main">
              <w:rPr>
                <w:rFonts w:ascii="Symbol" w:cs="Symbol" w:eastAsia="Symbol" w:hAnsi="Symbol"/>
                <w:sz w:val="16"/>
                <w:szCs w:val="16"/>
                <w:color w:val="auto"/>
              </w:rPr>
              <w:t>·</w:t>
            </w: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</w:rPr>
              <w:t xml:space="preserve"> Korzystny dla kupującego (długi)</w:t>
            </w:r>
          </w:p>
        </w:tc>
        <w:tc>
          <w:tcPr>
            <w:tcW w:w="56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</w:rPr>
              <w:t xml:space="preserve">+ 100 $</w:t>
            </w:r>
          </w:p>
        </w:tc>
      </w:tr>
    </w:tbl>
    <w:p>
      <w:pPr>
        <w:spacing w:after="0" w:line="24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2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ustalona z góry cena jest równa rzeczywistej cenie rynkowej.</w:t>
      </w: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3">
            <w:col w:w="4980" w:space="140"/>
            <w:col w:w="2560" w:space="220"/>
            <w:col w:w="2620"/>
          </w:cols>
          <w:pgMar w:left="1080" w:top="706" w:right="640" w:bottom="457" w:gutter="0" w:footer="0" w:header="0"/>
          <w:type w:val="continuous"/>
        </w:sectPr>
      </w:pPr>
    </w:p>
    <w:p>
      <w:pPr>
        <w:spacing w:after="0" w:line="9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60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odzyskać.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wzrośnie.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 z powrotem, będzie się różnić w zależności od tego, jak rozwinie się instrument bazowy, co zależy od przyszłej wydajności rynku, która jest niepewna i nie można jej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ceny wartości bazowej, a oś pionowa pokazuje zysk lub stratę.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Podane liczby obejmują wszystkie koszty samego produktu, ale mogą nie obejmować wszystkich kosztów, które płacisz swojemu doradcy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18415</wp:posOffset>
                </wp:positionV>
                <wp:extent cx="6788785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8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1499pt,1.45pt" to="529.4pt,1.4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520"/>
          </w:cols>
          <w:pgMar w:left="1080" w:top="706" w:right="640" w:bottom="457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 w:right="46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789420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83.4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807085</wp:posOffset>
                </wp:positionV>
                <wp:extent cx="678942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63.55pt" to="583.4pt,63.5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2348230</wp:posOffset>
                </wp:positionV>
                <wp:extent cx="678942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184.9pt" to="583.4pt,184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6959600</wp:posOffset>
                </wp:positionV>
                <wp:extent cx="6789420" cy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548pt" to="583.4pt,54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7988300</wp:posOffset>
                </wp:positionV>
                <wp:extent cx="6789420" cy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629pt" to="583.4pt,62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8828405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284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731.1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7406640</wp:posOffset>
                </wp:positionH>
                <wp:positionV relativeFrom="page">
                  <wp:posOffset>457200</wp:posOffset>
                </wp:positionV>
                <wp:extent cx="0" cy="8828405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284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3.2pt,36pt" to="583.2pt,731.1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lub dystrybutora i nie uwzględniaj swojej osobistej sytuacji podatkowej, co może mieć również wpływ na wysokość zwrotu.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0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OCC zostały zaprojektowane w taki sposób, aby wyniki na wszystkich towarowych kontraktach terminowych były pomiędzy OCC a grupą firm maklerskich zwanych członkami rozliczającymi, którzy przenoszą pozycje swoich klientów na ich rachunkach OCC.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są zobowiązani do spełnienia wymogów finansowych UOKiK w zakresie uczestnictwa oraz do ustanowienia zabezpieczenia pozycji swoich klientów.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inwestora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zarządzanie ryzykiem kontrahenta i ułatwianie rozrachunku transakcji terminowych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zobowiązań.</w:t>
      </w:r>
    </w:p>
    <w:p>
      <w:pPr>
        <w:sectPr>
          <w:pgSz w:w="12240" w:h="15840" w:orient="portrait"/>
          <w:cols w:equalWidth="0" w:num="1">
            <w:col w:w="10700"/>
          </w:cols>
          <w:pgMar w:left="860" w:top="774" w:right="680" w:bottom="405" w:gutter="0" w:footer="0" w:header="0"/>
        </w:sectPr>
      </w:pPr>
    </w:p>
    <w:p>
      <w:pPr>
        <w:spacing w:after="0" w:line="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 w:line="23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Jakie są koszty?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 doradzająca lub sprzedająca Ci ten produkt może naliczyć Ci inne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Jeśli tak, osoba ta przekaże Ci informacje o tych kosztach i ich wpływie na Twoją inwestycję.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Łączne koszty kontraktów terminowych na towary zależą od wielu czynników.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Wymóg dotyczący początkowego depozytu zabezpieczającego to kwota, którą inwestor musi zdeponować u swojego brokera w celu zawarcia kontraktu terminowego na towary.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Kwota ta jest zasadniczo równa określonemu procentowi bieżącej wartości rynkowej zamówienia.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 terminowy na towary jest również wyceniany według wartości rynkowej co najmniej raz dziennie, a rachunek każdego kupującego będzie odzwierciedlał kwotę wszelkich zysków lub strat z tytułu kontraktu w oparciu o dzienny kurs rozliczeniowy kontraktu i mogą być wymagane dodatkowe depozyty zmiennego depozytu zabezpieczającego.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Poszczególne firmy maklerskie mogą również wymagać dodatkowego depozytu zabezpieczającego, wykraczającego poza wymagany przez giełdy OCC i amerykańskie kontrakty terminowe.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mające istotny wpływ na wartość rynkową przyszłego towaru obejmują między innymi cenę instrumentu bazowego i czas do jego zapadalności.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kontrakty terminowe wiąże się z dodatkowymi kosztami, które obejmują kwestie podatkowe,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0"/>
        </w:trPr>
        <w:tc>
          <w:tcPr>
            <w:tcW w:w="156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</w:tr>
      <w:tr>
        <w:trPr>
          <w:trHeight w:val="249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</w:tr>
      <w:tr>
        <w:trPr>
          <w:trHeight w:val="244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8"/>
              </w:rPr>
              <w:t xml:space="preserve">Roczny wpływ na koszty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</w:tr>
      <w:tr>
        <w:trPr>
          <w:trHeight w:val="247"/>
        </w:trPr>
        <w:tc>
          <w:tcPr>
            <w:tcW w:w="1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241"/>
        </w:trPr>
        <w:tc>
          <w:tcPr>
            <w:tcW w:w="3720" w:type="dxa"/>
            <w:vAlign w:val="bottom"/>
            <w:tcBorders>
              <w:left w:val="single" w:sz="8" w:color="auto"/>
              <w:bottom w:val="single" w:sz="8" w:color="auto"/>
              <w:right w:val="single" w:sz="8" w:color="DADADA"/>
            </w:tcBorders>
            <w:gridSpan w:val="6"/>
            <w:shd w:val="clear" w:color="auto" w:fill="DADADA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49"/>
        </w:trPr>
        <w:tc>
          <w:tcPr>
            <w:tcW w:w="37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</w:tr>
      <w:tr>
        <w:trPr>
          <w:trHeight w:val="205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18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21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236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</w:tr>
      <w:tr>
        <w:trPr>
          <w:trHeight w:val="202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21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236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</w:tr>
      <w:tr>
        <w:trPr>
          <w:trHeight w:val="202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ind w:left="80"/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</w:tr>
      <w:tr>
        <w:trPr>
          <w:trHeight w:val="236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</w:tr>
      <w:tr>
        <w:trPr>
          <w:trHeight w:val="205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18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21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208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80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</w:tr>
      <w:tr>
        <w:trPr>
          <w:trHeight w:val="20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21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</w:tr>
      <w:tr>
        <w:trPr>
          <w:trHeight w:val="208"/>
        </w:trPr>
        <w:tc>
          <w:tcPr>
            <w:tcW w:w="15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80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</w:tr>
      <w:tr>
        <w:trPr>
          <w:trHeight w:val="20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37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</w:rPr>
              <w:t xml:space="preserve">Koszty uboczne ponoszone na określonych warunkach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0"/>
        </w:trPr>
        <w:tc>
          <w:tcPr>
            <w:tcW w:w="15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</w:tr>
    </w:tbl>
    <w:p>
      <w:pPr>
        <w:spacing w:after="0" w:line="99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5280" w:space="180"/>
            <w:col w:w="5240"/>
          </w:cols>
          <w:pgMar w:left="860" w:top="774" w:right="680" w:bottom="405" w:gutter="0" w:footer="0" w:header="0"/>
          <w:type w:val="continuous"/>
        </w:sectPr>
      </w:pPr>
    </w:p>
    <w:p>
      <w:pPr xmlns:w="http://schemas.openxmlformats.org/wordprocessingml/2006/main">
        <w:ind w:left="220" w:right="32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koszty transakcyjne i wymogi dotyczące marży, które mogą mieć istotny wpływ na wynik finansowy.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Koszty transakcyjne obejmują głównie prowizje, ale mogą również obejmować koszty marży i odsetek.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Jeżeli inwestor upłynni pozycję kontraktu terminowego na towary, może ponieść dodatkowe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.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4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ponoszą wyłączną odpowiedzialność za ustalenie, czy i kiedy powinni zamknąć towarową pozycję terminową, czy też utrzymywać tę pozycję do terminu jej zapadalności.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pozycję terminową na towary, rezygnują z wszelkich późniejszych zysków lub strat związanych z tą pozycją.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towarowe kontrakty terminowe mają termin zapadalności, po którym kontrakt przestaje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 może zamknąć otwartą pozycję w towarowych kontraktach terminowych poprzez zawarcie transakcji kompensacyjnej przed terminem zapadalności kontraktu.</w:t>
      </w:r>
    </w:p>
    <w:p>
      <w:pPr>
        <w:spacing w:after="0" w:line="8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92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NFA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https://www.nfa.futures.org/basicnet/complaint.aspx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 lub CFTC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http://www.cftc.gov/ConsumerProtection/FileaTiporComplaint/index.htm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40"/>
        <w:spacing w:after="0"/>
        <w:tabs>
          <w:tab w:leader="none" w:pos="47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Krajowe Stowarzyszenie Kontraktów Terminowych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USA.</w:t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 Komisja ds. Obrotu Terminami Towarowymi</w:t>
      </w:r>
    </w:p>
    <w:p>
      <w:pPr xmlns:w="http://schemas.openxmlformats.org/wordprocessingml/2006/main">
        <w:ind w:left="340"/>
        <w:spacing w:after="0"/>
        <w:tabs>
          <w:tab w:leader="none" w:pos="47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300 S. Riverside Plaza, #1800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Centrum Trzech Lafayette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40"/>
        <w:spacing w:after="0"/>
        <w:tabs>
          <w:tab w:leader="none" w:pos="47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Chicago, IL 60606-6615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1155 21st Street, NW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40"/>
        <w:spacing w:after="0"/>
        <w:tabs>
          <w:tab w:leader="none" w:pos="47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Telefon: 312-781-1300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Waszyngton, DC 20581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40"/>
        <w:spacing w:after="0"/>
        <w:tabs>
          <w:tab w:leader="none" w:pos="47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Faks: 312-781-1467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Telefon: 866-366-2382 Faks: 202-418-5521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14605</wp:posOffset>
                </wp:positionV>
                <wp:extent cx="6789420" cy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9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8pt,1.15pt" to="540.4pt,1.1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700"/>
          </w:cols>
          <w:pgMar w:left="860" w:top="774" w:right="680" w:bottom="405" w:gutter="0" w:footer="0" w:header="0"/>
          <w:type w:val="continuous"/>
        </w:sectPr>
      </w:pPr>
    </w:p>
    <w:p>
      <w:pPr>
        <w:spacing w:after="0" w:line="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700"/>
      </w:cols>
      <w:pgMar w:left="860" w:top="774" w:right="680" w:bottom="405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FBB9602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6FED97C6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715C0981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2024-05-21T09:02:37Z</dcterms:created>
  <dcterms:modified xsi:type="dcterms:W3CDTF">2024-05-21T09:02:37Z</dcterms:modified>
</cp:coreProperties>
</file>