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626110</wp:posOffset>
                </wp:positionH>
                <wp:positionV relativeFrom="page">
                  <wp:posOffset>463550</wp:posOffset>
                </wp:positionV>
                <wp:extent cx="683387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3387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9.3pt;margin-top:36.5pt;width:538.1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673735</wp:posOffset>
                </wp:positionH>
                <wp:positionV relativeFrom="page">
                  <wp:posOffset>463550</wp:posOffset>
                </wp:positionV>
                <wp:extent cx="673925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3925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53.05pt;margin-top:36.5pt;width:530.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4784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962660</wp:posOffset>
                </wp:positionV>
                <wp:extent cx="684784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75.8pt" to="588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1837690</wp:posOffset>
                </wp:positionV>
                <wp:extent cx="684784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44.7pt" to="588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3052445</wp:posOffset>
                </wp:positionV>
                <wp:extent cx="684784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240.35pt" to="588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3911600</wp:posOffset>
                </wp:positionV>
                <wp:extent cx="684784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08pt" to="588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55218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521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09.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7464425</wp:posOffset>
                </wp:positionH>
                <wp:positionV relativeFrom="page">
                  <wp:posOffset>457200</wp:posOffset>
                </wp:positionV>
                <wp:extent cx="0" cy="855218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521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7.75pt,36pt" to="587.75pt,709.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Τυποποιημένη Επιλογή Ιδίων Κεφαλαίων (Short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25400</wp:posOffset>
                </wp:positionV>
                <wp:extent cx="683323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3235" cy="868680"/>
                        </a:xfrm>
                        <a:prstGeom prst="rect">
                          <a:avLst/>
                        </a:prstGeom>
                        <a:solidFill>
                          <a:srgbClr val="9CC2E5"/>
                        </a:solidFill>
                      </wps:spPr>
                      <wps:bodyPr/>
                    </wps:wsp>
                  </a:graphicData>
                </a:graphic>
              </wp:anchor>
            </w:drawing>
          </mc:Choice>
          <mc:Fallback>
            <w:pict>
              <v:rect id="Shape 10" o:spid="_x0000_s1035" style="position:absolute;margin-left:-4.6499pt;margin-top:2pt;width:538.0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Επί Μετοχών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τυποποιημένα δικαιώματα προαίρεσης σε μετοχές (a/k/a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μετοχών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20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τυποποιημένα δικαιώματα προαίρεσης επί μετοχών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20955</wp:posOffset>
                </wp:positionV>
                <wp:extent cx="6833235" cy="508889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3235" cy="5088890"/>
                        </a:xfrm>
                        <a:prstGeom prst="rect">
                          <a:avLst/>
                        </a:prstGeom>
                        <a:solidFill>
                          <a:srgbClr val="BDD6EE"/>
                        </a:solidFill>
                      </wps:spPr>
                      <wps:bodyPr/>
                    </wps:wsp>
                  </a:graphicData>
                </a:graphic>
              </wp:anchor>
            </w:drawing>
          </mc:Choice>
          <mc:Fallback>
            <w:pict>
              <v:rect id="Shape 11" o:spid="_x0000_s1036" style="position:absolute;margin-left:-4.6499pt;margin-top:1.65pt;width:538.05pt;height:40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4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μετοχών είναι το δικαίωμα αγοράς ή πώλησης συγκεκριμένου ποσού ή αξίας ενός συγκεκριμένου υποκείμενου τίτλου σε καθορισμένη τιμή (</w:t>
      </w:r>
      <w:r>
        <w:rPr xmlns:w="http://schemas.openxmlformats.org/wordprocessingml/2006/main">
          <w:rFonts w:ascii="Calibri" w:cs="Calibri" w:eastAsia="Calibri" w:hAnsi="Calibri"/>
          <w:sz w:val="22"/>
          <w:szCs w:val="22"/>
          <w:i w:val="1"/>
          <w:iCs w:val="1"/>
          <w:color w:val="auto"/>
        </w:rPr>
        <w:t xml:space="preserve">δηλαδή, της «</w:t>
      </w:r>
      <w:r>
        <w:rPr xmlns:w="http://schemas.openxmlformats.org/wordprocessingml/2006/main">
          <w:rFonts w:ascii="Calibri" w:cs="Calibri" w:eastAsia="Calibri" w:hAnsi="Calibri"/>
          <w:sz w:val="22"/>
          <w:szCs w:val="22"/>
          <w:color w:val="auto"/>
        </w:rPr>
        <w:t xml:space="preserve"> τιμής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Το άνοιγμα στον υποκείμενο τίτλο μετοχικού κεφαλαίου είναι επομένως έμμεσο, επειδή η αξία του δικαιώματος προαίρεσης προκύπτει από την αξία του υποκείμενου τίτλου.</w:t>
      </w:r>
      <w:r>
        <w:rPr xmlns:w="http://schemas.openxmlformats.org/wordprocessingml/2006/main">
          <w:rFonts w:ascii="Calibri" w:cs="Calibri" w:eastAsia="Calibri" w:hAnsi="Calibri"/>
          <w:sz w:val="22"/>
          <w:szCs w:val="22"/>
          <w:color w:val="auto"/>
        </w:rPr>
        <w:t xml:space="preserve"> Οι ημερομηνίες λήξης για τις μετοχικές επιλογές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εταιρική πράξη σχετικά με τον υποκείμενο τίτλο μετοχικού κεφαλαίου μπορεί να οδηγήσει σε αλλαγή των όρων του δικαιώματος προαίρεσης σύμφωνα με τους κανόνες της OCC, οι οποίοι μπορεί να διαφέρουν από τη μεθοδολογία που χρησιμοποιείται στις ευρωπαϊκές αγορές δικαιωμάτων προαίρεσης.</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ind w:right="10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εκδότης του δικαιώματος προαίρεσης είναι υποχρεωμένος - αν και όταν του ανατίθεται μια άσκηση - να ενεργεί σύμφωνα με τους όρους για να αγοράσει ή να πωλήσει τον υποκείμενο μετοχικό τίτλο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μετοχών συνήθως διακανονίζονται φυσικά, αλλά μπορούν επίσης να διακανονίζονται σε μετρητά.</w:t>
      </w:r>
      <w:r>
        <w:rPr xmlns:w="http://schemas.openxmlformats.org/wordprocessingml/2006/main">
          <w:rFonts w:ascii="Calibri" w:cs="Calibri" w:eastAsia="Calibri" w:hAnsi="Calibri"/>
          <w:sz w:val="22"/>
          <w:szCs w:val="22"/>
          <w:color w:val="auto"/>
        </w:rPr>
        <w:t xml:space="preserve"> Ο φυσικός διακανονισμός παρέχει στον κάτοχο το δικαίωμα να λάβει (να ζητήσει) ή να πραγματοποιήσει (να καταβάλει) υλική παράδοση του υποκείμενου τίτλου μετοχικού κεφαλαίου κατά την άσκησή του.</w:t>
      </w:r>
      <w:r>
        <w:rPr xmlns:w="http://schemas.openxmlformats.org/wordprocessingml/2006/main">
          <w:rFonts w:ascii="Calibri" w:cs="Calibri" w:eastAsia="Calibri" w:hAnsi="Calibri"/>
          <w:sz w:val="22"/>
          <w:szCs w:val="22"/>
          <w:color w:val="auto"/>
        </w:rPr>
        <w:t xml:space="preserve"> Στο πλαίσιο διακανονισμού σε μετρητά, ο κάτοχος έχει το δικαίωμα να λάβει μετρητά, αν η προσδιοριζόμενη αξία του υποκείμενου τίτλου, κατά τον χρόνο άσκησης, υπερβαίνει το (δικαίωμα αγοράς) ή είναι μικρότερη από (δικαίωμα πώλησης) την τιμή άσκησης.</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της υποκείμενης ασφάλειας και την ευαισθησία της στις διακυμάνσεις των τιμών (μεταβλητότητα).</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4"/>
          <w:szCs w:val="24"/>
          <w:color w:val="auto"/>
        </w:rPr>
      </w:pPr>
    </w:p>
    <w:p>
      <w:pPr xmlns:w="http://schemas.openxmlformats.org/wordprocessingml/2006/main">
        <w:ind w:right="2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Οι τυποποιημένες μετοχικές επιλογές δεν είναι κατάλληλες για όλους τους επενδυτές και προορίζονται μόνο για επενδυτές που έχουν πλήρη κατανόηση του προϊόντος και μπορούν να αντέξουν τις δυνητικές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17780</wp:posOffset>
                </wp:positionV>
                <wp:extent cx="684720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20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4pt" to="534pt,1.4pt" o:allowincell="f" strokecolor="#000000" strokeweight="0.48pt"/>
            </w:pict>
          </mc:Fallback>
        </mc:AlternateContent>
      </w:r>
    </w:p>
    <w:p>
      <w:pPr>
        <w:sectPr>
          <w:pgSz w:w="12240" w:h="15840" w:orient="portrait"/>
          <w:cols w:equalWidth="0" w:num="1">
            <w:col w:w="10560"/>
          </w:cols>
          <w:pgMar w:left="1080" w:top="699" w:right="600" w:bottom="112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4784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94588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458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40.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7464425</wp:posOffset>
                </wp:positionH>
                <wp:positionV relativeFrom="page">
                  <wp:posOffset>457200</wp:posOffset>
                </wp:positionV>
                <wp:extent cx="0" cy="894588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458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7.75pt,36pt" to="587.75pt,740.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1065530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1065530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2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40" w:right="20" w:hanging="230"/>
        <w:spacing w:after="0" w:line="228"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 πρόγραμμα εγγραφής δικαιώματος προαίρεσης μπορεί να απαιτείται για την εκπλήρωση της υποχρέωσης αγοράς ή πώλησης του υποκείμενου δικαιώματος προαίρεσης οποιαδήποτε στιγμή κατά την οποία το δικαίωμα προαίρεσης μπορεί να ασκηθεί λόγω του ύφους του.</w:t>
      </w:r>
      <w:r>
        <w:rPr xmlns:w="http://schemas.openxmlformats.org/wordprocessingml/2006/main">
          <w:rFonts w:ascii="Calibri" w:cs="Calibri" w:eastAsia="Calibri" w:hAnsi="Calibri"/>
          <w:sz w:val="22"/>
          <w:szCs w:val="22"/>
          <w:color w:val="auto"/>
        </w:rPr>
        <w:t xml:space="preserve"> Ο δικαιοπάροχος που δεν κατέχει τον υποκείμενο μετοχικό τίτλο (ακάλυπτη κλήση) αναλαμβάνει τον κίνδυνο δυνητικής απεριόριστης ζημίας καθώς αυξάνεται η τιμή των υποκείμενων τόκων.</w:t>
      </w:r>
      <w:r>
        <w:rPr xmlns:w="http://schemas.openxmlformats.org/wordprocessingml/2006/main">
          <w:rFonts w:ascii="Calibri" w:cs="Calibri" w:eastAsia="Calibri" w:hAnsi="Calibri"/>
          <w:sz w:val="22"/>
          <w:szCs w:val="22"/>
          <w:color w:val="auto"/>
        </w:rPr>
        <w:t xml:space="preserve"> Ο εκδότης δικαιωμάτων προαίρεσης επί δικαιώματος πώλησης αναλαμβάνει τον κίνδυνο ζημίας ίσης με τη διαφορά μεταξύ της τιμής άσκησης δικαιώματος πώλησης και του μηδενός αν η τιμή του υποκείμενου τίτλου μετοχικού κεφαλαίου μειωθεί στο μηδέν.</w:t>
      </w:r>
      <w:r>
        <w:rPr xmlns:w="http://schemas.openxmlformats.org/wordprocessingml/2006/main">
          <w:rFonts w:ascii="Calibri" w:cs="Calibri" w:eastAsia="Calibri" w:hAnsi="Calibri"/>
          <w:sz w:val="22"/>
          <w:szCs w:val="22"/>
          <w:color w:val="auto"/>
        </w:rPr>
        <w:t xml:space="preserve"> Οι εγγραφείς τέτοιων ακάλυπτων κλήσεων και θέσεων υποχρεούνται να αναρτούν το περιθώριο ασφαλείας (που περιγράφεται κατωτέρω) με τον μεσίτη τους, γεγονός που δημιουργεί πρόσθετο κίνδυνο.</w:t>
      </w:r>
    </w:p>
    <w:p>
      <w:pPr>
        <w:spacing w:after="0" w:line="80" w:lineRule="exact"/>
        <w:rPr>
          <w:rFonts w:ascii="Symbol" w:cs="Symbol" w:eastAsia="Symbol" w:hAnsi="Symbol"/>
          <w:sz w:val="22"/>
          <w:szCs w:val="22"/>
          <w:color w:val="auto"/>
        </w:rPr>
      </w:pPr>
    </w:p>
    <w:p>
      <w:pPr xmlns:w="http://schemas.openxmlformats.org/wordprocessingml/2006/main">
        <w:ind w:left="240" w:right="260" w:hanging="230"/>
        <w:spacing w:after="0" w:line="217"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τιμές των υποκείμενων ή συναφών συμφερόντων.</w:t>
      </w:r>
    </w:p>
    <w:p>
      <w:pPr>
        <w:spacing w:after="0" w:line="76" w:lineRule="exact"/>
        <w:rPr>
          <w:rFonts w:ascii="Symbol" w:cs="Symbol" w:eastAsia="Symbol" w:hAnsi="Symbol"/>
          <w:sz w:val="22"/>
          <w:szCs w:val="22"/>
          <w:color w:val="auto"/>
        </w:rPr>
      </w:pPr>
    </w:p>
    <w:p>
      <w:pPr xmlns:w="http://schemas.openxmlformats.org/wordprocessingml/2006/main">
        <w:ind w:left="240" w:right="360" w:hanging="230"/>
        <w:spacing w:after="0" w:line="205"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ο υποκείμενος τίτλος μετοχικού κεφαλαίου για ένα δικαίωμα προαίρεσης που διακανονίζεται με φυσική παράδοση δεν είναι διαθέσιμος, οι κανόνες του OCC μπορεί να απαιτούν εναλλακτική μορφή διακανονισμού, όπως διακανονισμό τοις μετρητοίς.</w:t>
      </w:r>
    </w:p>
    <w:p>
      <w:pPr>
        <w:spacing w:after="0" w:line="2" w:lineRule="exact"/>
        <w:rPr>
          <w:rFonts w:ascii="Symbol" w:cs="Symbol" w:eastAsia="Symbol" w:hAnsi="Symbol"/>
          <w:sz w:val="22"/>
          <w:szCs w:val="22"/>
          <w:color w:val="auto"/>
        </w:rPr>
      </w:pPr>
    </w:p>
    <w:p>
      <w:pPr xmlns:w="http://schemas.openxmlformats.org/wordprocessingml/2006/main">
        <w:ind w:left="240" w:hanging="230"/>
        <w:spacing w:after="0"/>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77" w:lineRule="exact"/>
        <w:rPr>
          <w:rFonts w:ascii="Symbol" w:cs="Symbol" w:eastAsia="Symbol" w:hAnsi="Symbol"/>
          <w:sz w:val="22"/>
          <w:szCs w:val="22"/>
          <w:color w:val="auto"/>
        </w:rPr>
      </w:pPr>
    </w:p>
    <w:p>
      <w:pPr xmlns:w="http://schemas.openxmlformats.org/wordprocessingml/2006/main">
        <w:ind w:left="220" w:right="100" w:hanging="210"/>
        <w:spacing w:after="0" w:line="217" w:lineRule="auto"/>
        <w:tabs>
          <w:tab w:leader="none" w:pos="220" w:val="left"/>
        </w:tabs>
        <w:numPr>
          <w:ilvl w:val="0"/>
          <w:numId w:val="1"/>
        </w:numPr>
        <w:rPr>
          <w:rFonts w:ascii="Symbol" w:cs="Symbol" w:eastAsia="Symbol" w:hAnsi="Symbol"/>
          <w:sz w:val="16"/>
          <w:szCs w:val="16"/>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106" w:lineRule="exact"/>
        <w:rPr>
          <w:sz w:val="20"/>
          <w:szCs w:val="20"/>
          <w:color w:val="auto"/>
        </w:rPr>
      </w:pPr>
    </w:p>
    <w:p>
      <w:pPr xmlns:w="http://schemas.openxmlformats.org/wordprocessingml/2006/main">
        <w:ind w:right="38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24130</wp:posOffset>
            </wp:positionH>
            <wp:positionV relativeFrom="paragraph">
              <wp:posOffset>14605</wp:posOffset>
            </wp:positionV>
            <wp:extent cx="6750050" cy="17405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750050" cy="1740535"/>
                    </a:xfrm>
                    <a:prstGeom prst="rect">
                      <a:avLst/>
                    </a:prstGeom>
                    <a:noFill/>
                  </pic:spPr>
                </pic:pic>
              </a:graphicData>
            </a:graphic>
          </wp:anchor>
        </w:drawing>
        <w:drawing>
          <wp:anchor simplePos="0" relativeHeight="251657728" behindDoc="1" locked="0" layoutInCell="0" allowOverlap="1">
            <wp:simplePos x="0" y="0"/>
            <wp:positionH relativeFrom="column">
              <wp:posOffset>24130</wp:posOffset>
            </wp:positionH>
            <wp:positionV relativeFrom="paragraph">
              <wp:posOffset>14605</wp:posOffset>
            </wp:positionV>
            <wp:extent cx="6750050" cy="17405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750050" cy="1740535"/>
                    </a:xfrm>
                    <a:prstGeom prst="rect">
                      <a:avLst/>
                    </a:prstGeom>
                    <a:noFill/>
                  </pic:spPr>
                </pic:pic>
              </a:graphicData>
            </a:graphic>
          </wp:anchor>
        </w:drawing>
      </w:r>
    </w:p>
    <w:p>
      <w:pPr>
        <w:sectPr>
          <w:pgSz w:w="12240" w:h="15840" w:orient="portrait"/>
          <w:cols w:equalWidth="0" w:num="1">
            <w:col w:w="10560"/>
          </w:cols>
          <w:pgMar w:left="1080" w:top="706" w:right="600" w:bottom="505" w:gutter="0" w:footer="0" w:header="0"/>
        </w:sectPr>
      </w:pPr>
    </w:p>
    <w:p>
      <w:pPr>
        <w:spacing w:after="0" w:line="177" w:lineRule="exact"/>
        <w:rPr>
          <w:sz w:val="20"/>
          <w:szCs w:val="20"/>
          <w:color w:val="auto"/>
        </w:rPr>
      </w:pPr>
    </w:p>
    <w:tbl>
      <w:tblPr>
        <w:tblLayout w:type="fixed"/>
        <w:tblInd w:w="440" w:type="dxa"/>
        <w:tblCellMar>
          <w:top w:w="0" w:type="dxa"/>
          <w:left w:w="0" w:type="dxa"/>
          <w:bottom w:w="0" w:type="dxa"/>
          <w:right w:w="0" w:type="dxa"/>
        </w:tblCellMar>
      </w:tblPr>
      <w:tr>
        <w:trPr>
          <w:trHeight w:val="195"/>
        </w:trPr>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100" w:type="dxa"/>
            <w:vAlign w:val="bottom"/>
            <w:gridSpan w:val="4"/>
          </w:tcPr>
          <w:p>
            <w:pPr xmlns:w="http://schemas.openxmlformats.org/wordprocessingml/2006/main">
              <w:jc w:val="right"/>
              <w:ind w:right="410"/>
              <w:spacing w:after="0"/>
              <w:rPr>
                <w:sz w:val="20"/>
                <w:szCs w:val="20"/>
                <w:color w:val="auto"/>
              </w:rPr>
            </w:pPr>
            <w:r>
              <w:rPr xmlns:w="http://schemas.openxmlformats.org/wordprocessingml/2006/main">
                <w:rFonts w:ascii="Calibri" w:cs="Calibri" w:eastAsia="Calibri" w:hAnsi="Calibri"/>
                <w:sz w:val="16"/>
                <w:szCs w:val="16"/>
                <w:color w:val="595959"/>
              </w:rPr>
              <w:t xml:space="preserve">P / L της γραφής ένα Put (Πριμοδότηση $ 5?</w:t>
            </w:r>
            <w:r>
              <w:rPr xmlns:w="http://schemas.openxmlformats.org/wordprocessingml/2006/main">
                <w:rFonts w:ascii="Calibri" w:cs="Calibri" w:eastAsia="Calibri" w:hAnsi="Calibri"/>
                <w:sz w:val="16"/>
                <w:szCs w:val="16"/>
                <w:color w:val="595959"/>
              </w:rPr>
              <w:t xml:space="preserve"> Τιμή άσκησης (45 $)</w:t>
            </w:r>
          </w:p>
        </w:tc>
        <w:tc>
          <w:tcPr>
            <w:tcW w:w="7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9"/>
        </w:trPr>
        <w:tc>
          <w:tcPr>
            <w:tcW w:w="180" w:type="dxa"/>
            <w:vAlign w:val="bottom"/>
          </w:tcPr>
          <w:p>
            <w:pPr>
              <w:spacing w:after="0"/>
              <w:rPr>
                <w:sz w:val="24"/>
                <w:szCs w:val="24"/>
                <w:color w:val="auto"/>
              </w:rPr>
            </w:pPr>
          </w:p>
        </w:tc>
        <w:tc>
          <w:tcPr>
            <w:tcW w:w="800" w:type="dxa"/>
            <w:vAlign w:val="bottom"/>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1200" w:type="dxa"/>
            <w:vAlign w:val="bottom"/>
          </w:tcPr>
          <w:p>
            <w:pPr xmlns:w="http://schemas.openxmlformats.org/wordprocessingml/2006/main">
              <w:jc w:val="right"/>
              <w:ind w:right="276"/>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980" w:type="dxa"/>
            <w:vAlign w:val="bottom"/>
          </w:tcPr>
          <w:p>
            <w:pPr xmlns:w="http://schemas.openxmlformats.org/wordprocessingml/2006/main">
              <w:jc w:val="right"/>
              <w:ind w:right="27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96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96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80 $</w:t>
            </w:r>
          </w:p>
        </w:tc>
        <w:tc>
          <w:tcPr>
            <w:tcW w:w="7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100 $</w:t>
            </w: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120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98"/>
        </w:trPr>
        <w:tc>
          <w:tcPr>
            <w:tcW w:w="18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12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5"/>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12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
        </w:trPr>
        <w:tc>
          <w:tcPr>
            <w:tcW w:w="18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2"/>
        </w:trPr>
        <w:tc>
          <w:tcPr>
            <w:tcW w:w="180" w:type="dxa"/>
            <w:vAlign w:val="bottom"/>
          </w:tcPr>
          <w:p>
            <w:pPr>
              <w:spacing w:after="0"/>
              <w:rPr>
                <w:sz w:val="23"/>
                <w:szCs w:val="23"/>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120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95"/>
        </w:trPr>
        <w:tc>
          <w:tcPr>
            <w:tcW w:w="18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-30 $</w:t>
            </w:r>
          </w:p>
        </w:tc>
        <w:tc>
          <w:tcPr>
            <w:tcW w:w="3140" w:type="dxa"/>
            <w:vAlign w:val="bottom"/>
            <w:gridSpan w:val="3"/>
            <w:vMerge w:val="restart"/>
          </w:tcPr>
          <w:p>
            <w:pPr xmlns:w="http://schemas.openxmlformats.org/wordprocessingml/2006/main">
              <w:jc w:val="right"/>
              <w:ind w:right="53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μέσου</w:t>
            </w:r>
          </w:p>
        </w:tc>
        <w:tc>
          <w:tcPr>
            <w:tcW w:w="9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7"/>
        </w:trPr>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140" w:type="dxa"/>
            <w:vAlign w:val="bottom"/>
            <w:gridSpan w:val="3"/>
            <w:vMerge w:val="continue"/>
          </w:tcPr>
          <w:p>
            <w:pPr>
              <w:spacing w:after="0"/>
              <w:rPr>
                <w:sz w:val="12"/>
                <w:szCs w:val="12"/>
                <w:color w:val="auto"/>
              </w:rPr>
            </w:pPr>
          </w:p>
        </w:tc>
        <w:tc>
          <w:tcPr>
            <w:tcW w:w="9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FF0000"/>
        </w:rPr>
        <w:t xml:space="preserve">Red Plot Point</w:t>
      </w:r>
      <w:r>
        <w:rPr xmlns:w="http://schemas.openxmlformats.org/wordprocessingml/2006/main">
          <w:rFonts w:ascii="Calibri" w:cs="Calibri" w:eastAsia="Calibri" w:hAnsi="Calibri"/>
          <w:sz w:val="17"/>
          <w:szCs w:val="17"/>
          <w:u w:val="single" w:color="auto"/>
          <w:color w:val="auto"/>
        </w:rPr>
        <w:t xml:space="preserve">)</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Τιμή αγοράς:</w:t>
      </w:r>
      <w:r>
        <w:rPr xmlns:w="http://schemas.openxmlformats.org/wordprocessingml/2006/main">
          <w:rFonts w:ascii="Calibri" w:cs="Calibri" w:eastAsia="Calibri" w:hAnsi="Calibri"/>
          <w:sz w:val="18"/>
          <w:szCs w:val="18"/>
          <w:color w:val="auto"/>
        </w:rPr>
        <w:t xml:space="preserve"> 15 $</w:t>
      </w:r>
    </w:p>
    <w:p>
      <w:pPr xmlns:w="http://schemas.openxmlformats.org/wordprocessingml/2006/main">
        <w:ind w:left="300" w:hanging="153"/>
        <w:spacing w:after="0" w:line="238" w:lineRule="auto"/>
        <w:tabs>
          <w:tab w:leader="none" w:pos="300" w:val="left"/>
        </w:tabs>
        <w:numPr>
          <w:ilvl w:val="0"/>
          <w:numId w:val="2"/>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Μη ευνοϊκό για το συντάκτη -$25</w:t>
      </w:r>
    </w:p>
    <w:p>
      <w:pPr xmlns:w="http://schemas.openxmlformats.org/wordprocessingml/2006/main">
        <w:ind w:left="140"/>
        <w:spacing w:after="0" w:line="199" w:lineRule="auto"/>
        <w:tabs>
          <w:tab w:leader="none" w:pos="190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8"/>
          <w:szCs w:val="18"/>
          <w:color w:val="auto"/>
        </w:rPr>
        <w:t xml:space="preserve">+$25</w:t>
      </w:r>
    </w:p>
    <w:p>
      <w:pPr>
        <w:spacing w:after="0" w:line="11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Υποκείμενη Κίνηση Της Αγοράς</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00B050"/>
        </w:rPr>
        <w:t xml:space="preserve">Σημείο Πράσινου Οικοπέδου</w:t>
      </w:r>
      <w:r>
        <w:rPr xmlns:w="http://schemas.openxmlformats.org/wordprocessingml/2006/main">
          <w:rFonts w:ascii="Calibri" w:cs="Calibri" w:eastAsia="Calibri" w:hAnsi="Calibri"/>
          <w:sz w:val="17"/>
          <w:szCs w:val="17"/>
          <w:u w:val="single" w:color="auto"/>
          <w:color w:val="auto"/>
        </w:rPr>
        <w:t xml:space="preserve">)</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Τιμή αγοράς:</w:t>
      </w:r>
      <w:r>
        <w:rPr xmlns:w="http://schemas.openxmlformats.org/wordprocessingml/2006/main">
          <w:rFonts w:ascii="Calibri" w:cs="Calibri" w:eastAsia="Calibri" w:hAnsi="Calibri"/>
          <w:sz w:val="18"/>
          <w:szCs w:val="18"/>
          <w:color w:val="auto"/>
        </w:rPr>
        <w:t xml:space="preserve"> 35 $</w:t>
      </w:r>
    </w:p>
    <w:p>
      <w:pPr xmlns:w="http://schemas.openxmlformats.org/wordprocessingml/2006/main">
        <w:ind w:left="300" w:hanging="153"/>
        <w:spacing w:after="0" w:line="238" w:lineRule="auto"/>
        <w:tabs>
          <w:tab w:leader="none" w:pos="300" w:val="left"/>
        </w:tabs>
        <w:numPr>
          <w:ilvl w:val="0"/>
          <w:numId w:val="3"/>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Μη ευνοϊκό για το συντάκτη -$5</w:t>
      </w:r>
    </w:p>
    <w:p>
      <w:pPr xmlns:w="http://schemas.openxmlformats.org/wordprocessingml/2006/main">
        <w:ind w:left="140"/>
        <w:spacing w:after="0" w:line="199" w:lineRule="auto"/>
        <w:tabs>
          <w:tab w:leader="none" w:pos="194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8"/>
          <w:szCs w:val="18"/>
          <w:color w:val="auto"/>
        </w:rPr>
        <w:t xml:space="preserve">+$5</w:t>
      </w:r>
    </w:p>
    <w:p>
      <w:pPr>
        <w:spacing w:after="0" w:line="32" w:lineRule="exact"/>
        <w:rPr>
          <w:sz w:val="20"/>
          <w:szCs w:val="20"/>
          <w:color w:val="auto"/>
        </w:rPr>
      </w:pPr>
    </w:p>
    <w:p>
      <w:pPr xmlns:w="http://schemas.openxmlformats.org/wordprocessingml/2006/main">
        <w:ind w:right="16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μείον το ασφάλιστρο.</w:t>
      </w:r>
    </w:p>
    <w:p>
      <w:pPr>
        <w:spacing w:after="0" w:line="200" w:lineRule="exact"/>
        <w:rPr>
          <w:sz w:val="20"/>
          <w:szCs w:val="20"/>
          <w:color w:val="auto"/>
        </w:rPr>
      </w:pPr>
    </w:p>
    <w:p>
      <w:pPr>
        <w:sectPr>
          <w:pgSz w:w="12240" w:h="15840" w:orient="portrait"/>
          <w:cols w:equalWidth="0" w:num="2">
            <w:col w:w="6200" w:space="440"/>
            <w:col w:w="3920"/>
          </w:cols>
          <w:pgMar w:left="1080" w:top="706" w:right="600" w:bottom="505" w:gutter="0" w:footer="0" w:header="0"/>
          <w:type w:val="continuous"/>
        </w:sectPr>
      </w:pPr>
    </w:p>
    <w:p>
      <w:pPr>
        <w:spacing w:after="0" w:line="275" w:lineRule="exact"/>
        <w:rPr>
          <w:sz w:val="20"/>
          <w:szCs w:val="20"/>
          <w:color w:val="auto"/>
        </w:r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όλες τις δαπάνες του ίδιου του προϊόντος, αλλά μπορεί να μην περιλαμβάνουν όλες τις δαπάνες που έχετε</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20320</wp:posOffset>
                </wp:positionV>
                <wp:extent cx="684720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20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6pt" to="534pt,1.6pt" o:allowincell="f" strokecolor="#000000" strokeweight="0.48pt"/>
            </w:pict>
          </mc:Fallback>
        </mc:AlternateContent>
      </w:r>
    </w:p>
    <w:p>
      <w:pPr>
        <w:sectPr>
          <w:pgSz w:w="12240" w:h="15840" w:orient="portrait"/>
          <w:cols w:equalWidth="0" w:num="1">
            <w:col w:w="10560"/>
          </w:cols>
          <w:pgMar w:left="1080" w:top="706" w:right="600" w:bottom="505" w:gutter="0" w:footer="0" w:header="0"/>
          <w:type w:val="continuous"/>
        </w:sectPr>
      </w:pPr>
    </w:p>
    <w:bookmarkStart w:id="2" w:name="page3"/>
    <w:bookmarkEnd w:id="2"/>
    <w:p>
      <w:pPr xmlns:w="http://schemas.openxmlformats.org/wordprocessingml/2006/main">
        <w:ind w:left="220" w:right="1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4784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807085</wp:posOffset>
                </wp:positionV>
                <wp:extent cx="684784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3.55pt" to="588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6447790</wp:posOffset>
                </wp:positionV>
                <wp:extent cx="684784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507.7pt" to="588pt,507.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7988300</wp:posOffset>
                </wp:positionV>
                <wp:extent cx="684784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29pt" to="588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73506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350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23.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7464425</wp:posOffset>
                </wp:positionH>
                <wp:positionV relativeFrom="page">
                  <wp:posOffset>457200</wp:posOffset>
                </wp:positionV>
                <wp:extent cx="0" cy="873506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350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7.75pt,36pt" to="587.75pt,723.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να πληρώσετε στο σύμβουλό σας ή το διανομέα και να μην λάβετε υπόψη την προσωπική σας φορολογική κατάσταση, η οποία μπορεί επίσης να επηρεάσει το ποσό που λαμβάνετε.</w:t>
      </w:r>
    </w:p>
    <w:p>
      <w:pPr>
        <w:spacing w:after="0" w:line="77" w:lineRule="exact"/>
        <w:rPr>
          <w:sz w:val="20"/>
          <w:szCs w:val="20"/>
          <w:color w:val="auto"/>
        </w:rPr>
      </w:pPr>
    </w:p>
    <w:p>
      <w:pPr xmlns:w="http://schemas.openxmlformats.org/wordprocessingml/2006/main">
        <w:ind w:left="220" w:right="200"/>
        <w:spacing w:after="0" w:line="233"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6"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100" w:type="dxa"/>
            <w:vAlign w:val="bottom"/>
            <w:tcBorders>
              <w:top w:val="single" w:sz="8" w:color="auto"/>
            </w:tcBorders>
          </w:tcPr>
          <w:p>
            <w:pPr>
              <w:spacing w:after="0"/>
              <w:rPr>
                <w:sz w:val="24"/>
                <w:szCs w:val="24"/>
                <w:color w:val="auto"/>
              </w:rPr>
            </w:pPr>
          </w:p>
        </w:tc>
        <w:tc>
          <w:tcPr>
            <w:tcW w:w="5360" w:type="dxa"/>
            <w:vAlign w:val="bottom"/>
            <w:tcBorders>
              <w:top w:val="single" w:sz="8" w:color="auto"/>
              <w:right w:val="single" w:sz="8" w:color="auto"/>
            </w:tcBorders>
            <w:gridSpan w:val="2"/>
          </w:tcPr>
          <w:p>
            <w:pPr xmlns:w="http://schemas.openxmlformats.org/wordprocessingml/2006/main">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6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5360" w:type="dxa"/>
            <w:vAlign w:val="bottom"/>
            <w:tcBorders>
              <w:right w:val="single" w:sz="8" w:color="auto"/>
            </w:tcBorders>
            <w:gridSpan w:val="2"/>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 αυτό</w:t>
            </w: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100" w:type="dxa"/>
            <w:vAlign w:val="bottom"/>
          </w:tcPr>
          <w:p>
            <w:pPr>
              <w:spacing w:after="0"/>
              <w:rPr>
                <w:sz w:val="21"/>
                <w:szCs w:val="21"/>
                <w:color w:val="auto"/>
              </w:rPr>
            </w:pPr>
          </w:p>
        </w:tc>
        <w:tc>
          <w:tcPr>
            <w:tcW w:w="5360" w:type="dxa"/>
            <w:vAlign w:val="bottom"/>
            <w:tcBorders>
              <w:right w:val="single" w:sz="8" w:color="auto"/>
            </w:tcBorders>
            <w:gridSpan w:val="2"/>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πρόσωπο θα σας δώσει πληροφορίες σχετικά με αυτά</w:t>
            </w: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100" w:type="dxa"/>
            <w:vAlign w:val="bottom"/>
          </w:tcPr>
          <w:p>
            <w:pPr>
              <w:spacing w:after="0"/>
              <w:rPr>
                <w:sz w:val="20"/>
                <w:szCs w:val="20"/>
                <w:color w:val="auto"/>
              </w:rPr>
            </w:pPr>
          </w:p>
        </w:tc>
        <w:tc>
          <w:tcPr>
            <w:tcW w:w="5360" w:type="dxa"/>
            <w:vAlign w:val="bottom"/>
            <w:gridSpan w:val="2"/>
          </w:tcPr>
          <w:p>
            <w:pPr xmlns:w="http://schemas.openxmlformats.org/wordprocessingml/2006/main">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κόστος και πώς επηρεάζουν την επένδυσή σας.</w:t>
            </w:r>
            <w:r>
              <w:rPr xmlns:w="http://schemas.openxmlformats.org/wordprocessingml/2006/main">
                <w:rFonts w:ascii="Calibri" w:cs="Calibri" w:eastAsia="Calibri" w:hAnsi="Calibri"/>
                <w:sz w:val="22"/>
                <w:szCs w:val="22"/>
                <w:color w:val="auto"/>
              </w:rPr>
              <w:t xml:space="preserve"> Συγκέντρωση</w:t>
            </w:r>
          </w:p>
        </w:tc>
        <w:tc>
          <w:tcPr>
            <w:tcW w:w="8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5360" w:type="dxa"/>
            <w:vAlign w:val="bottom"/>
            <w:tcBorders>
              <w:right w:val="single" w:sz="8" w:color="auto"/>
            </w:tcBorders>
            <w:gridSpan w:val="2"/>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κόστος των τυποποιημένων μετοχικών δικαιωμάτων προαίρεσης εξαρτάται</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8"/>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560" w:type="dxa"/>
            <w:vAlign w:val="bottom"/>
            <w:tcBorders>
              <w:top w:val="single" w:sz="8" w:color="auto"/>
              <w:bottom w:val="single" w:sz="8" w:color="auto"/>
            </w:tcBorders>
            <w:shd w:val="clear" w:color="auto" w:fill="DADADA"/>
          </w:tcPr>
          <w:p>
            <w:pPr>
              <w:spacing w:after="0"/>
              <w:rPr>
                <w:sz w:val="21"/>
                <w:szCs w:val="21"/>
                <w:color w:val="auto"/>
              </w:rPr>
            </w:pPr>
          </w:p>
        </w:tc>
        <w:tc>
          <w:tcPr>
            <w:tcW w:w="86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5360" w:type="dxa"/>
            <w:vAlign w:val="bottom"/>
            <w:tcBorders>
              <w:right w:val="single" w:sz="8" w:color="auto"/>
            </w:tcBorders>
            <w:gridSpan w:val="2"/>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κόστος που καταβάλλεται από το</w:t>
            </w:r>
          </w:p>
        </w:tc>
        <w:tc>
          <w:tcPr>
            <w:tcW w:w="8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100" w:type="dxa"/>
            <w:vAlign w:val="bottom"/>
          </w:tcPr>
          <w:p>
            <w:pPr>
              <w:spacing w:after="0"/>
              <w:rPr>
                <w:sz w:val="20"/>
                <w:szCs w:val="20"/>
                <w:color w:val="auto"/>
              </w:rPr>
            </w:pPr>
          </w:p>
        </w:tc>
        <w:tc>
          <w:tcPr>
            <w:tcW w:w="5360" w:type="dxa"/>
            <w:vAlign w:val="bottom"/>
            <w:tcBorders>
              <w:right w:val="single" w:sz="8" w:color="auto"/>
            </w:tcBorders>
            <w:gridSpan w:val="2"/>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κάτοχος του συγγραφέα.</w:t>
            </w:r>
            <w:r>
              <w:rPr xmlns:w="http://schemas.openxmlformats.org/wordprocessingml/2006/main">
                <w:rFonts w:ascii="Calibri" w:cs="Calibri" w:eastAsia="Calibri" w:hAnsi="Calibri"/>
                <w:sz w:val="22"/>
                <w:szCs w:val="22"/>
                <w:color w:val="auto"/>
              </w:rPr>
              <w:t xml:space="preserve"> Παράγοντες που έχουν σημαντική</w:t>
            </w:r>
          </w:p>
        </w:tc>
        <w:tc>
          <w:tcPr>
            <w:tcW w:w="8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42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1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6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00" w:type="dxa"/>
            <w:vAlign w:val="bottom"/>
          </w:tcPr>
          <w:p>
            <w:pPr>
              <w:spacing w:after="0"/>
              <w:rPr>
                <w:sz w:val="15"/>
                <w:szCs w:val="15"/>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ασφάλιστρο περιλαμβάνει, χωρίς να περιορίζεται σε αυτό, το</w:t>
            </w:r>
          </w:p>
        </w:tc>
        <w:tc>
          <w:tcPr>
            <w:tcW w:w="80" w:type="dxa"/>
            <w:vAlign w:val="bottom"/>
          </w:tcPr>
          <w:p>
            <w:pPr>
              <w:spacing w:after="0"/>
              <w:rPr>
                <w:sz w:val="15"/>
                <w:szCs w:val="15"/>
                <w:color w:val="auto"/>
              </w:rPr>
            </w:pPr>
          </w:p>
        </w:tc>
        <w:tc>
          <w:tcPr>
            <w:tcW w:w="1440" w:type="dxa"/>
            <w:vAlign w:val="bottom"/>
            <w:tcBorders>
              <w:right w:val="single" w:sz="8" w:color="auto"/>
            </w:tcBorders>
            <w:gridSpan w:val="2"/>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100" w:type="dxa"/>
            <w:vAlign w:val="bottom"/>
          </w:tcPr>
          <w:p>
            <w:pPr>
              <w:spacing w:after="0"/>
              <w:rPr>
                <w:sz w:val="15"/>
                <w:szCs w:val="15"/>
                <w:color w:val="auto"/>
              </w:rPr>
            </w:pPr>
          </w:p>
        </w:tc>
        <w:tc>
          <w:tcPr>
            <w:tcW w:w="206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1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86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5"/>
        </w:trPr>
        <w:tc>
          <w:tcPr>
            <w:tcW w:w="100" w:type="dxa"/>
            <w:vAlign w:val="bottom"/>
          </w:tcPr>
          <w:p>
            <w:pPr>
              <w:spacing w:after="0"/>
              <w:rPr>
                <w:sz w:val="7"/>
                <w:szCs w:val="7"/>
                <w:color w:val="auto"/>
              </w:rPr>
            </w:pPr>
          </w:p>
        </w:tc>
        <w:tc>
          <w:tcPr>
            <w:tcW w:w="5360" w:type="dxa"/>
            <w:vAlign w:val="bottom"/>
            <w:tcBorders>
              <w:right w:val="single" w:sz="8" w:color="auto"/>
            </w:tcBorders>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7"/>
                <w:szCs w:val="7"/>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100" w:type="dxa"/>
            <w:vAlign w:val="bottom"/>
          </w:tcPr>
          <w:p>
            <w:pPr>
              <w:spacing w:after="0"/>
              <w:rPr>
                <w:sz w:val="7"/>
                <w:szCs w:val="7"/>
                <w:color w:val="auto"/>
              </w:rPr>
            </w:pPr>
          </w:p>
        </w:tc>
        <w:tc>
          <w:tcPr>
            <w:tcW w:w="560" w:type="dxa"/>
            <w:vAlign w:val="bottom"/>
          </w:tcPr>
          <w:p>
            <w:pPr>
              <w:spacing w:after="0"/>
              <w:rPr>
                <w:sz w:val="7"/>
                <w:szCs w:val="7"/>
                <w:color w:val="auto"/>
              </w:rPr>
            </w:pPr>
          </w:p>
        </w:tc>
        <w:tc>
          <w:tcPr>
            <w:tcW w:w="86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100" w:type="dxa"/>
            <w:vAlign w:val="bottom"/>
          </w:tcPr>
          <w:p>
            <w:pPr>
              <w:spacing w:after="0"/>
              <w:rPr>
                <w:sz w:val="11"/>
                <w:szCs w:val="11"/>
                <w:color w:val="auto"/>
              </w:rPr>
            </w:pPr>
          </w:p>
        </w:tc>
        <w:tc>
          <w:tcPr>
            <w:tcW w:w="5360" w:type="dxa"/>
            <w:vAlign w:val="bottom"/>
            <w:tcBorders>
              <w:right w:val="single" w:sz="8" w:color="auto"/>
            </w:tcBorders>
            <w:gridSpan w:val="2"/>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υποκείμενη αξία ιδίων κεφαλαίων, χρόνος έως τη λήξη της</w:t>
            </w:r>
          </w:p>
        </w:tc>
        <w:tc>
          <w:tcPr>
            <w:tcW w:w="80" w:type="dxa"/>
            <w:vAlign w:val="bottom"/>
          </w:tcPr>
          <w:p>
            <w:pPr>
              <w:spacing w:after="0"/>
              <w:rPr>
                <w:sz w:val="11"/>
                <w:szCs w:val="11"/>
                <w:color w:val="auto"/>
              </w:rPr>
            </w:pPr>
          </w:p>
        </w:tc>
        <w:tc>
          <w:tcPr>
            <w:tcW w:w="1440" w:type="dxa"/>
            <w:vAlign w:val="bottom"/>
            <w:tcBorders>
              <w:right w:val="single" w:sz="8" w:color="auto"/>
            </w:tcBorders>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continue"/>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60" w:type="dxa"/>
            <w:vAlign w:val="bottom"/>
            <w:tcBorders>
              <w:right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100" w:type="dxa"/>
            <w:vAlign w:val="bottom"/>
          </w:tcPr>
          <w:p>
            <w:pPr>
              <w:spacing w:after="0"/>
              <w:rPr>
                <w:sz w:val="11"/>
                <w:szCs w:val="11"/>
                <w:color w:val="auto"/>
              </w:rPr>
            </w:pPr>
          </w:p>
        </w:tc>
        <w:tc>
          <w:tcPr>
            <w:tcW w:w="5360" w:type="dxa"/>
            <w:vAlign w:val="bottom"/>
            <w:tcBorders>
              <w:right w:val="single" w:sz="8" w:color="auto"/>
            </w:tcBorders>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100" w:type="dxa"/>
            <w:vAlign w:val="bottom"/>
          </w:tcPr>
          <w:p>
            <w:pPr>
              <w:spacing w:after="0"/>
              <w:rPr>
                <w:sz w:val="11"/>
                <w:szCs w:val="11"/>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5"/>
        </w:trPr>
        <w:tc>
          <w:tcPr>
            <w:tcW w:w="100" w:type="dxa"/>
            <w:vAlign w:val="bottom"/>
          </w:tcPr>
          <w:p>
            <w:pPr>
              <w:spacing w:after="0"/>
              <w:rPr>
                <w:sz w:val="9"/>
                <w:szCs w:val="9"/>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δικαίωμα προαίρεσης και 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80" w:type="dxa"/>
            <w:vAlign w:val="bottom"/>
            <w:tcBorders>
              <w:bottom w:val="single" w:sz="8" w:color="auto"/>
            </w:tcBorders>
          </w:tcPr>
          <w:p>
            <w:pPr>
              <w:spacing w:after="0"/>
              <w:rPr>
                <w:sz w:val="9"/>
                <w:szCs w:val="9"/>
                <w:color w:val="auto"/>
              </w:rPr>
            </w:pPr>
          </w:p>
        </w:tc>
        <w:tc>
          <w:tcPr>
            <w:tcW w:w="1440" w:type="dxa"/>
            <w:vAlign w:val="bottom"/>
            <w:tcBorders>
              <w:bottom w:val="single" w:sz="8" w:color="auto"/>
              <w:right w:val="single" w:sz="8" w:color="auto"/>
            </w:tcBorders>
            <w:gridSpan w:val="2"/>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2060" w:type="dxa"/>
            <w:vAlign w:val="bottom"/>
            <w:tcBorders>
              <w:bottom w:val="single" w:sz="8" w:color="auto"/>
              <w:right w:val="single" w:sz="8" w:color="auto"/>
            </w:tcBorders>
            <w:gridSpan w:val="5"/>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4"/>
        </w:trPr>
        <w:tc>
          <w:tcPr>
            <w:tcW w:w="100" w:type="dxa"/>
            <w:vAlign w:val="bottom"/>
          </w:tcPr>
          <w:p>
            <w:pPr>
              <w:spacing w:after="0"/>
              <w:rPr>
                <w:sz w:val="12"/>
                <w:szCs w:val="12"/>
                <w:color w:val="auto"/>
              </w:rPr>
            </w:pPr>
          </w:p>
        </w:tc>
        <w:tc>
          <w:tcPr>
            <w:tcW w:w="5360" w:type="dxa"/>
            <w:vAlign w:val="bottom"/>
            <w:tcBorders>
              <w:right w:val="single" w:sz="8" w:color="auto"/>
            </w:tcBorders>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gridSpan w:val="2"/>
            <w:vMerge w:val="restart"/>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86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100" w:type="dxa"/>
            <w:vAlign w:val="bottom"/>
          </w:tcPr>
          <w:p>
            <w:pPr>
              <w:spacing w:after="0"/>
              <w:rPr>
                <w:sz w:val="5"/>
                <w:szCs w:val="5"/>
                <w:color w:val="auto"/>
              </w:rPr>
            </w:pPr>
          </w:p>
        </w:tc>
        <w:tc>
          <w:tcPr>
            <w:tcW w:w="2640" w:type="dxa"/>
            <w:vAlign w:val="bottom"/>
          </w:tcPr>
          <w:p>
            <w:pPr>
              <w:spacing w:after="0"/>
              <w:rPr>
                <w:sz w:val="5"/>
                <w:szCs w:val="5"/>
                <w:color w:val="auto"/>
              </w:rPr>
            </w:pPr>
          </w:p>
        </w:tc>
        <w:tc>
          <w:tcPr>
            <w:tcW w:w="27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46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560" w:type="dxa"/>
            <w:vAlign w:val="bottom"/>
          </w:tcPr>
          <w:p>
            <w:pPr>
              <w:spacing w:after="0"/>
              <w:rPr>
                <w:sz w:val="5"/>
                <w:szCs w:val="5"/>
                <w:color w:val="auto"/>
              </w:rPr>
            </w:pPr>
          </w:p>
        </w:tc>
        <w:tc>
          <w:tcPr>
            <w:tcW w:w="86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100" w:type="dxa"/>
            <w:vAlign w:val="bottom"/>
          </w:tcPr>
          <w:p>
            <w:pPr>
              <w:spacing w:after="0"/>
              <w:rPr>
                <w:sz w:val="19"/>
                <w:szCs w:val="19"/>
                <w:color w:val="auto"/>
              </w:rPr>
            </w:pPr>
          </w:p>
        </w:tc>
        <w:tc>
          <w:tcPr>
            <w:tcW w:w="5360" w:type="dxa"/>
            <w:vAlign w:val="bottom"/>
            <w:tcBorders>
              <w:right w:val="single" w:sz="8" w:color="auto"/>
            </w:tcBorders>
            <w:gridSpan w:val="2"/>
          </w:tcPr>
          <w:p>
            <w:pPr xmlns:w="http://schemas.openxmlformats.org/wordprocessingml/2006/main">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πρόσθετες δαπάνες που περιλαμβάνουν φορολογικά θέματα,</w:t>
            </w:r>
          </w:p>
        </w:tc>
        <w:tc>
          <w:tcPr>
            <w:tcW w:w="80" w:type="dxa"/>
            <w:vAlign w:val="bottom"/>
          </w:tcPr>
          <w:p>
            <w:pPr>
              <w:spacing w:after="0"/>
              <w:rPr>
                <w:sz w:val="19"/>
                <w:szCs w:val="19"/>
                <w:color w:val="auto"/>
              </w:rPr>
            </w:pPr>
          </w:p>
        </w:tc>
        <w:tc>
          <w:tcPr>
            <w:tcW w:w="1440" w:type="dxa"/>
            <w:vAlign w:val="bottom"/>
            <w:tcBorders>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6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100" w:type="dxa"/>
            <w:vAlign w:val="bottom"/>
          </w:tcPr>
          <w:p>
            <w:pPr>
              <w:spacing w:after="0"/>
              <w:rPr>
                <w:sz w:val="20"/>
                <w:szCs w:val="20"/>
                <w:color w:val="auto"/>
              </w:rPr>
            </w:pPr>
          </w:p>
        </w:tc>
        <w:tc>
          <w:tcPr>
            <w:tcW w:w="5360" w:type="dxa"/>
            <w:vAlign w:val="bottom"/>
            <w:tcBorders>
              <w:right w:val="single" w:sz="8" w:color="auto"/>
            </w:tcBorders>
            <w:gridSpan w:val="2"/>
          </w:tcPr>
          <w:p>
            <w:pPr xmlns:w="http://schemas.openxmlformats.org/wordprocessingml/2006/main">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που μπορούν να επηρεάσουν</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00" w:type="dxa"/>
            <w:vAlign w:val="bottom"/>
          </w:tcPr>
          <w:p>
            <w:pPr>
              <w:spacing w:after="0"/>
              <w:rPr>
                <w:sz w:val="17"/>
                <w:szCs w:val="17"/>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επηρεάζουν σημαντικά τα αποτελέσματα.</w:t>
            </w:r>
            <w:r>
              <w:rPr xmlns:w="http://schemas.openxmlformats.org/wordprocessingml/2006/main">
                <w:rFonts w:ascii="Calibri" w:cs="Calibri" w:eastAsia="Calibri" w:hAnsi="Calibri"/>
                <w:sz w:val="22"/>
                <w:szCs w:val="22"/>
                <w:color w:val="auto"/>
              </w:rPr>
              <w:t xml:space="preserve"> Το κόστος της συναλλαγής συνίσταται</w:t>
            </w:r>
          </w:p>
        </w:tc>
        <w:tc>
          <w:tcPr>
            <w:tcW w:w="80" w:type="dxa"/>
            <w:vAlign w:val="bottom"/>
            <w:shd w:val="clear" w:color="auto" w:fill="DADADA"/>
          </w:tcPr>
          <w:p>
            <w:pPr>
              <w:spacing w:after="0"/>
              <w:rPr>
                <w:sz w:val="17"/>
                <w:szCs w:val="17"/>
                <w:color w:val="auto"/>
              </w:rPr>
            </w:pPr>
          </w:p>
        </w:tc>
        <w:tc>
          <w:tcPr>
            <w:tcW w:w="1020" w:type="dxa"/>
            <w:vAlign w:val="bottom"/>
            <w:shd w:val="clear" w:color="auto" w:fill="DADADA"/>
          </w:tcPr>
          <w:p>
            <w:pPr>
              <w:spacing w:after="0"/>
              <w:rPr>
                <w:sz w:val="17"/>
                <w:szCs w:val="17"/>
                <w:color w:val="auto"/>
              </w:rPr>
            </w:pPr>
          </w:p>
        </w:tc>
        <w:tc>
          <w:tcPr>
            <w:tcW w:w="42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6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20" w:type="dxa"/>
            <w:vAlign w:val="bottom"/>
            <w:tcBorders>
              <w:right w:val="single" w:sz="8" w:color="auto"/>
            </w:tcBorders>
            <w:gridSpan w:val="2"/>
            <w:shd w:val="clear" w:color="auto" w:fill="DADADA"/>
          </w:tcPr>
          <w:p>
            <w:pPr xmlns:w="http://schemas.openxmlformats.org/wordprocessingml/2006/main">
              <w:spacing w:after="0" w:line="202"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100" w:type="dxa"/>
            <w:vAlign w:val="bottom"/>
          </w:tcPr>
          <w:p>
            <w:pPr>
              <w:spacing w:after="0"/>
              <w:rPr>
                <w:sz w:val="5"/>
                <w:szCs w:val="5"/>
                <w:color w:val="auto"/>
              </w:rPr>
            </w:pPr>
          </w:p>
        </w:tc>
        <w:tc>
          <w:tcPr>
            <w:tcW w:w="5360" w:type="dxa"/>
            <w:vAlign w:val="bottom"/>
            <w:tcBorders>
              <w:right w:val="single" w:sz="8" w:color="auto"/>
            </w:tcBorders>
            <w:gridSpan w:val="2"/>
            <w:vMerge w:val="continue"/>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DADADA"/>
            </w:tcBorders>
            <w:gridSpan w:val="2"/>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10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6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auto"/>
            </w:tcBorders>
            <w:gridSpan w:val="2"/>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100" w:type="dxa"/>
            <w:vAlign w:val="bottom"/>
          </w:tcPr>
          <w:p>
            <w:pPr>
              <w:spacing w:after="0"/>
              <w:rPr>
                <w:sz w:val="14"/>
                <w:szCs w:val="14"/>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κυρίως των προμηθειών (οι οποίες επιβάλλονται κατά την κίνηση διαδικασίας,</w:t>
            </w: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gridSpan w:val="2"/>
            <w:vMerge w:val="continue"/>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6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gridSpan w:val="2"/>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100" w:type="dxa"/>
            <w:vAlign w:val="bottom"/>
          </w:tcPr>
          <w:p>
            <w:pPr>
              <w:spacing w:after="0"/>
              <w:rPr>
                <w:sz w:val="7"/>
                <w:szCs w:val="7"/>
                <w:color w:val="auto"/>
              </w:rPr>
            </w:pPr>
          </w:p>
        </w:tc>
        <w:tc>
          <w:tcPr>
            <w:tcW w:w="5360" w:type="dxa"/>
            <w:vAlign w:val="bottom"/>
            <w:tcBorders>
              <w:right w:val="single" w:sz="8" w:color="auto"/>
            </w:tcBorders>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gridSpan w:val="2"/>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6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560" w:type="dxa"/>
            <w:vAlign w:val="bottom"/>
          </w:tcPr>
          <w:p>
            <w:pPr>
              <w:spacing w:after="0"/>
              <w:rPr>
                <w:sz w:val="7"/>
                <w:szCs w:val="7"/>
                <w:color w:val="auto"/>
              </w:rPr>
            </w:pPr>
          </w:p>
        </w:tc>
        <w:tc>
          <w:tcPr>
            <w:tcW w:w="86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100" w:type="dxa"/>
            <w:vAlign w:val="bottom"/>
          </w:tcPr>
          <w:p>
            <w:pPr>
              <w:spacing w:after="0"/>
              <w:rPr>
                <w:sz w:val="10"/>
                <w:szCs w:val="10"/>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συναλλαγές κλεισίματος, άσκησης και εκχώρησης), αλλά μπορεί</w:t>
            </w:r>
          </w:p>
        </w:tc>
        <w:tc>
          <w:tcPr>
            <w:tcW w:w="80" w:type="dxa"/>
            <w:vAlign w:val="bottom"/>
          </w:tcPr>
          <w:p>
            <w:pPr>
              <w:spacing w:after="0"/>
              <w:rPr>
                <w:sz w:val="10"/>
                <w:szCs w:val="10"/>
                <w:color w:val="auto"/>
              </w:rPr>
            </w:pPr>
          </w:p>
        </w:tc>
        <w:tc>
          <w:tcPr>
            <w:tcW w:w="1440" w:type="dxa"/>
            <w:vAlign w:val="bottom"/>
            <w:tcBorders>
              <w:right w:val="single" w:sz="8" w:color="auto"/>
            </w:tcBorders>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86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100" w:type="dxa"/>
            <w:vAlign w:val="bottom"/>
          </w:tcPr>
          <w:p>
            <w:pPr>
              <w:spacing w:after="0"/>
              <w:rPr>
                <w:sz w:val="12"/>
                <w:szCs w:val="12"/>
                <w:color w:val="auto"/>
              </w:rPr>
            </w:pPr>
          </w:p>
        </w:tc>
        <w:tc>
          <w:tcPr>
            <w:tcW w:w="5360" w:type="dxa"/>
            <w:vAlign w:val="bottom"/>
            <w:tcBorders>
              <w:right w:val="single" w:sz="8" w:color="auto"/>
            </w:tcBorders>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gridSpan w:val="2"/>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86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100" w:type="dxa"/>
            <w:vAlign w:val="bottom"/>
          </w:tcPr>
          <w:p>
            <w:pPr>
              <w:spacing w:after="0"/>
              <w:rPr>
                <w:sz w:val="6"/>
                <w:szCs w:val="6"/>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περιλαμβάνουν επίσης το περιθώριο κέρδους και το κόστος των τόκων.</w:t>
            </w:r>
            <w:r>
              <w:rPr xmlns:w="http://schemas.openxmlformats.org/wordprocessingml/2006/main">
                <w:rFonts w:ascii="Calibri" w:cs="Calibri" w:eastAsia="Calibri" w:hAnsi="Calibri"/>
                <w:sz w:val="22"/>
                <w:szCs w:val="22"/>
                <w:color w:val="auto"/>
              </w:rPr>
              <w:t xml:space="preserve"> Περιθώριο</w:t>
            </w:r>
          </w:p>
        </w:tc>
        <w:tc>
          <w:tcPr>
            <w:tcW w:w="80" w:type="dxa"/>
            <w:vAlign w:val="bottom"/>
          </w:tcPr>
          <w:p>
            <w:pPr>
              <w:spacing w:after="0"/>
              <w:rPr>
                <w:sz w:val="6"/>
                <w:szCs w:val="6"/>
                <w:color w:val="auto"/>
              </w:rPr>
            </w:pPr>
          </w:p>
        </w:tc>
        <w:tc>
          <w:tcPr>
            <w:tcW w:w="1440" w:type="dxa"/>
            <w:vAlign w:val="bottom"/>
            <w:tcBorders>
              <w:right w:val="single" w:sz="8" w:color="auto"/>
            </w:tcBorders>
            <w:gridSpan w:val="2"/>
            <w:vMerge w:val="continue"/>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Pr>
          <w:p>
            <w:pPr>
              <w:spacing w:after="0"/>
              <w:rPr>
                <w:sz w:val="6"/>
                <w:szCs w:val="6"/>
                <w:color w:val="auto"/>
              </w:rPr>
            </w:pPr>
          </w:p>
        </w:tc>
        <w:tc>
          <w:tcPr>
            <w:tcW w:w="46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560" w:type="dxa"/>
            <w:vAlign w:val="bottom"/>
          </w:tcPr>
          <w:p>
            <w:pPr>
              <w:spacing w:after="0"/>
              <w:rPr>
                <w:sz w:val="6"/>
                <w:szCs w:val="6"/>
                <w:color w:val="auto"/>
              </w:rPr>
            </w:pPr>
          </w:p>
        </w:tc>
        <w:tc>
          <w:tcPr>
            <w:tcW w:w="86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100" w:type="dxa"/>
            <w:vAlign w:val="bottom"/>
          </w:tcPr>
          <w:p>
            <w:pPr>
              <w:spacing w:after="0"/>
              <w:rPr>
                <w:sz w:val="19"/>
                <w:szCs w:val="19"/>
                <w:color w:val="auto"/>
              </w:rPr>
            </w:pPr>
          </w:p>
        </w:tc>
        <w:tc>
          <w:tcPr>
            <w:tcW w:w="5360" w:type="dxa"/>
            <w:vAlign w:val="bottom"/>
            <w:tcBorders>
              <w:right w:val="single" w:sz="8" w:color="auto"/>
            </w:tcBorders>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100" w:type="dxa"/>
            <w:vAlign w:val="bottom"/>
          </w:tcPr>
          <w:p>
            <w:pPr>
              <w:spacing w:after="0"/>
              <w:rPr>
                <w:sz w:val="19"/>
                <w:szCs w:val="19"/>
                <w:color w:val="auto"/>
              </w:rPr>
            </w:pPr>
          </w:p>
        </w:tc>
        <w:tc>
          <w:tcPr>
            <w:tcW w:w="206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1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6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8"/>
        </w:trPr>
        <w:tc>
          <w:tcPr>
            <w:tcW w:w="100" w:type="dxa"/>
            <w:vAlign w:val="bottom"/>
          </w:tcPr>
          <w:p>
            <w:pPr>
              <w:spacing w:after="0"/>
              <w:rPr>
                <w:sz w:val="18"/>
                <w:szCs w:val="18"/>
                <w:color w:val="auto"/>
              </w:rPr>
            </w:pPr>
          </w:p>
        </w:tc>
        <w:tc>
          <w:tcPr>
            <w:tcW w:w="5360" w:type="dxa"/>
            <w:vAlign w:val="bottom"/>
            <w:tcBorders>
              <w:right w:val="single" w:sz="8" w:color="auto"/>
            </w:tcBorders>
            <w:gridSpan w:val="2"/>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που πρέπει να κατατεθούν από τον συγγραφέα μαζί με τον</w:t>
            </w:r>
          </w:p>
        </w:tc>
        <w:tc>
          <w:tcPr>
            <w:tcW w:w="80" w:type="dxa"/>
            <w:vAlign w:val="bottom"/>
          </w:tcPr>
          <w:p>
            <w:pPr>
              <w:spacing w:after="0"/>
              <w:rPr>
                <w:sz w:val="18"/>
                <w:szCs w:val="18"/>
                <w:color w:val="auto"/>
              </w:rPr>
            </w:pPr>
          </w:p>
        </w:tc>
        <w:tc>
          <w:tcPr>
            <w:tcW w:w="1440" w:type="dxa"/>
            <w:vAlign w:val="bottom"/>
            <w:tcBorders>
              <w:right w:val="single" w:sz="8" w:color="auto"/>
            </w:tcBorders>
            <w:gridSpan w:val="2"/>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100" w:type="dxa"/>
            <w:vAlign w:val="bottom"/>
          </w:tcPr>
          <w:p>
            <w:pPr>
              <w:spacing w:after="0"/>
              <w:rPr>
                <w:sz w:val="18"/>
                <w:szCs w:val="18"/>
                <w:color w:val="auto"/>
              </w:rPr>
            </w:pPr>
          </w:p>
        </w:tc>
        <w:tc>
          <w:tcPr>
            <w:tcW w:w="240" w:type="dxa"/>
            <w:vAlign w:val="bottom"/>
            <w:tcBorders>
              <w:bottom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1820" w:type="dxa"/>
            <w:vAlign w:val="bottom"/>
            <w:tcBorders>
              <w:right w:val="single" w:sz="8" w:color="auto"/>
            </w:tcBorders>
            <w:gridSpan w:val="4"/>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Borders>
              <w:right w:val="single" w:sz="8" w:color="auto"/>
            </w:tcBorders>
            <w:gridSpan w:val="2"/>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5360" w:type="dxa"/>
            <w:vAlign w:val="bottom"/>
            <w:tcBorders>
              <w:right w:val="single" w:sz="8" w:color="auto"/>
            </w:tcBorders>
            <w:gridSpan w:val="2"/>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60" w:type="dxa"/>
            <w:vAlign w:val="bottom"/>
            <w:tcBorders>
              <w:bottom w:val="single" w:sz="8" w:color="auto"/>
              <w:right w:val="single" w:sz="8" w:color="auto"/>
            </w:tcBorders>
            <w:gridSpan w:val="5"/>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100" w:type="dxa"/>
            <w:vAlign w:val="bottom"/>
          </w:tcPr>
          <w:p>
            <w:pPr>
              <w:spacing w:after="0"/>
              <w:rPr>
                <w:sz w:val="21"/>
                <w:szCs w:val="21"/>
                <w:color w:val="auto"/>
              </w:rPr>
            </w:pPr>
          </w:p>
        </w:tc>
        <w:tc>
          <w:tcPr>
            <w:tcW w:w="5360" w:type="dxa"/>
            <w:vAlign w:val="bottom"/>
            <w:tcBorders>
              <w:right w:val="single" w:sz="8" w:color="auto"/>
            </w:tcBorders>
            <w:gridSpan w:val="2"/>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μεσιτική επιχείρηση ως εξασφάλιση για την υποχρέωση, ως</w:t>
            </w:r>
          </w:p>
        </w:tc>
        <w:tc>
          <w:tcPr>
            <w:tcW w:w="8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4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5"/>
          </w:tcPr>
          <w:p>
            <w:pPr xmlns:w="http://schemas.openxmlformats.org/wordprocessingml/2006/main">
              <w:spacing w:after="0" w:line="190"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86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100" w:type="dxa"/>
            <w:vAlign w:val="bottom"/>
          </w:tcPr>
          <w:p>
            <w:pPr>
              <w:spacing w:after="0"/>
              <w:rPr>
                <w:sz w:val="14"/>
                <w:szCs w:val="14"/>
                <w:color w:val="auto"/>
              </w:rPr>
            </w:pPr>
          </w:p>
        </w:tc>
        <w:tc>
          <w:tcPr>
            <w:tcW w:w="5360" w:type="dxa"/>
            <w:vAlign w:val="bottom"/>
            <w:tcBorders>
              <w:right w:val="single" w:sz="8" w:color="auto"/>
            </w:tcBorders>
            <w:gridSpan w:val="2"/>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που ισχύουν, για την αγορά ή πώληση του υποκείμενου επιτοκίου ή για την πληρωμή</w:t>
            </w:r>
          </w:p>
        </w:tc>
        <w:tc>
          <w:tcPr>
            <w:tcW w:w="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100" w:type="dxa"/>
            <w:vAlign w:val="bottom"/>
          </w:tcPr>
          <w:p>
            <w:pPr>
              <w:spacing w:after="0"/>
              <w:rPr>
                <w:sz w:val="14"/>
                <w:szCs w:val="14"/>
                <w:color w:val="auto"/>
              </w:rPr>
            </w:pPr>
          </w:p>
        </w:tc>
        <w:tc>
          <w:tcPr>
            <w:tcW w:w="1420" w:type="dxa"/>
            <w:vAlign w:val="bottom"/>
            <w:tcBorders>
              <w:right w:val="single" w:sz="8" w:color="auto"/>
            </w:tcBorders>
            <w:gridSpan w:val="2"/>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100" w:type="dxa"/>
            <w:vAlign w:val="bottom"/>
          </w:tcPr>
          <w:p>
            <w:pPr>
              <w:spacing w:after="0"/>
              <w:rPr>
                <w:sz w:val="8"/>
                <w:szCs w:val="8"/>
                <w:color w:val="auto"/>
              </w:rPr>
            </w:pPr>
          </w:p>
        </w:tc>
        <w:tc>
          <w:tcPr>
            <w:tcW w:w="5360" w:type="dxa"/>
            <w:vAlign w:val="bottom"/>
            <w:tcBorders>
              <w:right w:val="single" w:sz="8" w:color="auto"/>
            </w:tcBorders>
            <w:gridSpan w:val="2"/>
            <w:vMerge w:val="continue"/>
          </w:tcPr>
          <w:p>
            <w:pPr>
              <w:spacing w:after="0"/>
              <w:rPr>
                <w:sz w:val="8"/>
                <w:szCs w:val="8"/>
                <w:color w:val="auto"/>
              </w:rPr>
            </w:pPr>
          </w:p>
        </w:tc>
        <w:tc>
          <w:tcPr>
            <w:tcW w:w="80" w:type="dxa"/>
            <w:vAlign w:val="bottom"/>
          </w:tcPr>
          <w:p>
            <w:pPr>
              <w:spacing w:after="0"/>
              <w:rPr>
                <w:sz w:val="8"/>
                <w:szCs w:val="8"/>
                <w:color w:val="auto"/>
              </w:rPr>
            </w:pPr>
          </w:p>
        </w:tc>
        <w:tc>
          <w:tcPr>
            <w:tcW w:w="1440" w:type="dxa"/>
            <w:vAlign w:val="bottom"/>
            <w:tcBorders>
              <w:right w:val="single" w:sz="8" w:color="auto"/>
            </w:tcBorders>
            <w:gridSpan w:val="2"/>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100" w:type="dxa"/>
            <w:vAlign w:val="bottom"/>
          </w:tcPr>
          <w:p>
            <w:pPr>
              <w:spacing w:after="0"/>
              <w:rPr>
                <w:sz w:val="8"/>
                <w:szCs w:val="8"/>
                <w:color w:val="auto"/>
              </w:rPr>
            </w:pPr>
          </w:p>
        </w:tc>
        <w:tc>
          <w:tcPr>
            <w:tcW w:w="206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100" w:type="dxa"/>
            <w:vAlign w:val="bottom"/>
          </w:tcPr>
          <w:p>
            <w:pPr>
              <w:spacing w:after="0"/>
              <w:rPr>
                <w:sz w:val="8"/>
                <w:szCs w:val="8"/>
                <w:color w:val="auto"/>
              </w:rPr>
            </w:pPr>
          </w:p>
        </w:tc>
        <w:tc>
          <w:tcPr>
            <w:tcW w:w="1420" w:type="dxa"/>
            <w:vAlign w:val="bottom"/>
            <w:tcBorders>
              <w:right w:val="single" w:sz="8" w:color="auto"/>
            </w:tcBorders>
            <w:gridSpan w:val="2"/>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8"/>
        </w:trPr>
        <w:tc>
          <w:tcPr>
            <w:tcW w:w="100" w:type="dxa"/>
            <w:vAlign w:val="bottom"/>
          </w:tcPr>
          <w:p>
            <w:pPr>
              <w:spacing w:after="0"/>
              <w:rPr>
                <w:sz w:val="9"/>
                <w:szCs w:val="9"/>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ποσό του διακανονισμού τοις μετρητοίς.</w:t>
            </w:r>
            <w:r>
              <w:rPr xmlns:w="http://schemas.openxmlformats.org/wordprocessingml/2006/main">
                <w:rFonts w:ascii="Calibri" w:cs="Calibri" w:eastAsia="Calibri" w:hAnsi="Calibri"/>
                <w:sz w:val="22"/>
                <w:szCs w:val="22"/>
                <w:color w:val="auto"/>
              </w:rPr>
              <w:t xml:space="preserve"> Σε περίπτωση άσκησης δικαιώματος προαίρεσης και</w:t>
            </w:r>
          </w:p>
        </w:tc>
        <w:tc>
          <w:tcPr>
            <w:tcW w:w="80" w:type="dxa"/>
            <w:vAlign w:val="bottom"/>
          </w:tcPr>
          <w:p>
            <w:pPr>
              <w:spacing w:after="0"/>
              <w:rPr>
                <w:sz w:val="9"/>
                <w:szCs w:val="9"/>
                <w:color w:val="auto"/>
              </w:rPr>
            </w:pPr>
          </w:p>
        </w:tc>
        <w:tc>
          <w:tcPr>
            <w:tcW w:w="1440" w:type="dxa"/>
            <w:vAlign w:val="bottom"/>
            <w:tcBorders>
              <w:right w:val="single" w:sz="8" w:color="auto"/>
            </w:tcBorders>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5"/>
            <w:vMerge w:val="continue"/>
          </w:tcPr>
          <w:p>
            <w:pPr>
              <w:spacing w:after="0"/>
              <w:rPr>
                <w:sz w:val="9"/>
                <w:szCs w:val="9"/>
                <w:color w:val="auto"/>
              </w:rPr>
            </w:pPr>
          </w:p>
        </w:tc>
        <w:tc>
          <w:tcPr>
            <w:tcW w:w="100" w:type="dxa"/>
            <w:vAlign w:val="bottom"/>
          </w:tcPr>
          <w:p>
            <w:pPr>
              <w:spacing w:after="0"/>
              <w:rPr>
                <w:sz w:val="9"/>
                <w:szCs w:val="9"/>
                <w:color w:val="auto"/>
              </w:rPr>
            </w:pPr>
          </w:p>
        </w:tc>
        <w:tc>
          <w:tcPr>
            <w:tcW w:w="1420" w:type="dxa"/>
            <w:vAlign w:val="bottom"/>
            <w:tcBorders>
              <w:right w:val="single" w:sz="8" w:color="auto"/>
            </w:tcBorders>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5360" w:type="dxa"/>
            <w:vAlign w:val="bottom"/>
            <w:tcBorders>
              <w:right w:val="single" w:sz="8" w:color="auto"/>
            </w:tcBorders>
            <w:gridSpan w:val="2"/>
            <w:vMerge w:val="continue"/>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0"/>
        </w:trPr>
        <w:tc>
          <w:tcPr>
            <w:tcW w:w="100" w:type="dxa"/>
            <w:vAlign w:val="bottom"/>
          </w:tcPr>
          <w:p>
            <w:pPr>
              <w:spacing w:after="0"/>
              <w:rPr>
                <w:sz w:val="8"/>
                <w:szCs w:val="8"/>
                <w:color w:val="auto"/>
              </w:rPr>
            </w:pPr>
          </w:p>
        </w:tc>
        <w:tc>
          <w:tcPr>
            <w:tcW w:w="5360" w:type="dxa"/>
            <w:vAlign w:val="bottom"/>
            <w:tcBorders>
              <w:right w:val="single" w:sz="8" w:color="auto"/>
            </w:tcBorders>
            <w:gridSpan w:val="2"/>
            <w:vMerge w:val="continue"/>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3480" w:type="dxa"/>
            <w:vAlign w:val="bottom"/>
            <w:gridSpan w:val="7"/>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560" w:type="dxa"/>
            <w:vAlign w:val="bottom"/>
            <w:shd w:val="clear" w:color="auto" w:fill="DADADA"/>
          </w:tcPr>
          <w:p>
            <w:pPr>
              <w:spacing w:after="0"/>
              <w:rPr>
                <w:sz w:val="8"/>
                <w:szCs w:val="8"/>
                <w:color w:val="auto"/>
              </w:rPr>
            </w:pPr>
          </w:p>
        </w:tc>
        <w:tc>
          <w:tcPr>
            <w:tcW w:w="86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100" w:type="dxa"/>
            <w:vAlign w:val="bottom"/>
          </w:tcPr>
          <w:p>
            <w:pPr>
              <w:spacing w:after="0"/>
              <w:rPr>
                <w:sz w:val="15"/>
                <w:szCs w:val="15"/>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εκχωρημένο, ένα πρόγραμμα εγγραφής ενδέχεται να επιβαρυνθεί με πρόσθετα έξοδα.</w:t>
            </w:r>
          </w:p>
        </w:tc>
        <w:tc>
          <w:tcPr>
            <w:tcW w:w="8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7"/>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560" w:type="dxa"/>
            <w:vAlign w:val="bottom"/>
            <w:tcBorders>
              <w:bottom w:val="single" w:sz="8" w:color="auto"/>
            </w:tcBorders>
            <w:shd w:val="clear" w:color="auto" w:fill="DADADA"/>
          </w:tcPr>
          <w:p>
            <w:pPr>
              <w:spacing w:after="0"/>
              <w:rPr>
                <w:sz w:val="15"/>
                <w:szCs w:val="15"/>
                <w:color w:val="auto"/>
              </w:rPr>
            </w:pPr>
          </w:p>
        </w:tc>
        <w:tc>
          <w:tcPr>
            <w:tcW w:w="86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100" w:type="dxa"/>
            <w:vAlign w:val="bottom"/>
          </w:tcPr>
          <w:p>
            <w:pPr>
              <w:spacing w:after="0"/>
              <w:rPr>
                <w:sz w:val="6"/>
                <w:szCs w:val="6"/>
                <w:color w:val="auto"/>
              </w:rPr>
            </w:pPr>
          </w:p>
        </w:tc>
        <w:tc>
          <w:tcPr>
            <w:tcW w:w="5360" w:type="dxa"/>
            <w:vAlign w:val="bottom"/>
            <w:tcBorders>
              <w:right w:val="single" w:sz="8" w:color="auto"/>
            </w:tcBorders>
            <w:gridSpan w:val="2"/>
            <w:vMerge w:val="continue"/>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100" w:type="dxa"/>
            <w:vAlign w:val="bottom"/>
          </w:tcPr>
          <w:p>
            <w:pPr>
              <w:spacing w:after="0"/>
              <w:rPr>
                <w:sz w:val="6"/>
                <w:szCs w:val="6"/>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100" w:type="dxa"/>
            <w:vAlign w:val="bottom"/>
          </w:tcPr>
          <w:p>
            <w:pPr>
              <w:spacing w:after="0"/>
              <w:rPr>
                <w:sz w:val="6"/>
                <w:szCs w:val="6"/>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5360" w:type="dxa"/>
            <w:vAlign w:val="bottom"/>
            <w:tcBorders>
              <w:right w:val="single" w:sz="8" w:color="auto"/>
            </w:tcBorders>
            <w:gridSpan w:val="2"/>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22"/>
                <w:szCs w:val="22"/>
                <w:color w:val="auto"/>
              </w:rPr>
              <w:t xml:space="preserve">Χωριστά από τα έξοδα των επενδυτών, τα έξοδα OCC που σχετίζονται με τα τέλη</w:t>
            </w: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gridSpan w:val="2"/>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5"/>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gridSpan w:val="2"/>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7"/>
        </w:trPr>
        <w:tc>
          <w:tcPr>
            <w:tcW w:w="100" w:type="dxa"/>
            <w:vAlign w:val="bottom"/>
          </w:tcPr>
          <w:p>
            <w:pPr>
              <w:spacing w:after="0"/>
              <w:rPr>
                <w:sz w:val="24"/>
                <w:szCs w:val="24"/>
                <w:color w:val="auto"/>
              </w:rPr>
            </w:pPr>
          </w:p>
        </w:tc>
        <w:tc>
          <w:tcPr>
            <w:tcW w:w="10560" w:type="dxa"/>
            <w:vAlign w:val="bottom"/>
            <w:gridSpan w:val="1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για την εκκαθάριση αυτού του προϊόντος στα εκκαθαριστικά μέλη του, αλλά όχι απευθείας σε εσάς:</w:t>
            </w:r>
            <w:r>
              <w:rPr xmlns:w="http://schemas.openxmlformats.org/wordprocessingml/2006/main">
                <w:rFonts w:ascii="Calibri" w:cs="Calibri" w:eastAsia="Calibri" w:hAnsi="Calibri"/>
                <w:sz w:val="22"/>
                <w:szCs w:val="22"/>
                <w:color w:val="0563C1"/>
              </w:rPr>
              <w:t xml:space="preserve"> https://www.theocc.com/company-</w:t>
            </w: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5360" w:type="dxa"/>
            <w:vAlign w:val="bottom"/>
            <w:gridSpan w:val="2"/>
          </w:tcPr>
          <w:p>
            <w:pPr xmlns:w="http://schemas.openxmlformats.org/wordprocessingml/2006/main">
              <w:spacing w:after="0" w:line="249" w:lineRule="exact"/>
              <w:rPr>
                <w:sz w:val="20"/>
                <w:szCs w:val="20"/>
                <w:color w:val="auto"/>
              </w:rPr>
            </w:pPr>
            <w:r>
              <w:rPr xmlns:w="http://schemas.openxmlformats.org/wordprocessingml/2006/main">
                <w:rFonts w:ascii="Calibri" w:cs="Calibri" w:eastAsia="Calibri" w:hAnsi="Calibri"/>
                <w:sz w:val="22"/>
                <w:szCs w:val="22"/>
                <w:color w:val="0563C1"/>
              </w:rPr>
              <w:t xml:space="preserve">πληροφορίες/χρονοδιάγραμμα τελών</w:t>
            </w:r>
            <w:r>
              <w:rPr xmlns:w="http://schemas.openxmlformats.org/wordprocessingml/2006/main">
                <w:rFonts w:ascii="Calibri" w:cs="Calibri" w:eastAsia="Calibri" w:hAnsi="Calibri"/>
                <w:sz w:val="22"/>
                <w:szCs w:val="22"/>
                <w:color w:val="000000"/>
              </w:rPr>
              <w:t xml:space="preserve">.</w:t>
            </w:r>
          </w:p>
        </w:tc>
        <w:tc>
          <w:tcPr>
            <w:tcW w:w="8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420" w:type="dxa"/>
            <w:vAlign w:val="bottom"/>
            <w:tcBorders>
              <w:top w:val="single" w:sz="8" w:color="0563C1"/>
            </w:tcBorders>
          </w:tcPr>
          <w:p>
            <w:pPr>
              <w:spacing w:after="0"/>
              <w:rPr>
                <w:sz w:val="21"/>
                <w:szCs w:val="21"/>
                <w:color w:val="auto"/>
              </w:rPr>
            </w:pPr>
          </w:p>
        </w:tc>
        <w:tc>
          <w:tcPr>
            <w:tcW w:w="100" w:type="dxa"/>
            <w:vAlign w:val="bottom"/>
            <w:tcBorders>
              <w:top w:val="single" w:sz="8" w:color="0563C1"/>
            </w:tcBorders>
          </w:tcPr>
          <w:p>
            <w:pPr>
              <w:spacing w:after="0"/>
              <w:rPr>
                <w:sz w:val="21"/>
                <w:szCs w:val="21"/>
                <w:color w:val="auto"/>
              </w:rPr>
            </w:pPr>
          </w:p>
        </w:tc>
        <w:tc>
          <w:tcPr>
            <w:tcW w:w="240" w:type="dxa"/>
            <w:vAlign w:val="bottom"/>
            <w:tcBorders>
              <w:top w:val="single" w:sz="8" w:color="0563C1"/>
            </w:tcBorders>
          </w:tcPr>
          <w:p>
            <w:pPr>
              <w:spacing w:after="0"/>
              <w:rPr>
                <w:sz w:val="21"/>
                <w:szCs w:val="21"/>
                <w:color w:val="auto"/>
              </w:rPr>
            </w:pPr>
          </w:p>
        </w:tc>
        <w:tc>
          <w:tcPr>
            <w:tcW w:w="460" w:type="dxa"/>
            <w:vAlign w:val="bottom"/>
            <w:tcBorders>
              <w:top w:val="single" w:sz="8" w:color="0563C1"/>
            </w:tcBorders>
          </w:tcPr>
          <w:p>
            <w:pPr>
              <w:spacing w:after="0"/>
              <w:rPr>
                <w:sz w:val="21"/>
                <w:szCs w:val="21"/>
                <w:color w:val="auto"/>
              </w:rPr>
            </w:pPr>
          </w:p>
        </w:tc>
        <w:tc>
          <w:tcPr>
            <w:tcW w:w="960" w:type="dxa"/>
            <w:vAlign w:val="bottom"/>
            <w:tcBorders>
              <w:top w:val="single" w:sz="8" w:color="0563C1"/>
            </w:tcBorders>
          </w:tcPr>
          <w:p>
            <w:pPr>
              <w:spacing w:after="0"/>
              <w:rPr>
                <w:sz w:val="21"/>
                <w:szCs w:val="21"/>
                <w:color w:val="auto"/>
              </w:rPr>
            </w:pPr>
          </w:p>
        </w:tc>
        <w:tc>
          <w:tcPr>
            <w:tcW w:w="280" w:type="dxa"/>
            <w:vAlign w:val="bottom"/>
            <w:tcBorders>
              <w:top w:val="single" w:sz="8" w:color="0563C1"/>
            </w:tcBorders>
          </w:tcPr>
          <w:p>
            <w:pPr>
              <w:spacing w:after="0"/>
              <w:rPr>
                <w:sz w:val="21"/>
                <w:szCs w:val="21"/>
                <w:color w:val="auto"/>
              </w:rPr>
            </w:pPr>
          </w:p>
        </w:tc>
        <w:tc>
          <w:tcPr>
            <w:tcW w:w="120" w:type="dxa"/>
            <w:vAlign w:val="bottom"/>
            <w:tcBorders>
              <w:top w:val="single" w:sz="8" w:color="0563C1"/>
            </w:tcBorders>
          </w:tcPr>
          <w:p>
            <w:pPr>
              <w:spacing w:after="0"/>
              <w:rPr>
                <w:sz w:val="21"/>
                <w:szCs w:val="21"/>
                <w:color w:val="auto"/>
              </w:rPr>
            </w:pPr>
          </w:p>
        </w:tc>
        <w:tc>
          <w:tcPr>
            <w:tcW w:w="100" w:type="dxa"/>
            <w:vAlign w:val="bottom"/>
            <w:tcBorders>
              <w:top w:val="single" w:sz="8" w:color="0563C1"/>
            </w:tcBorders>
          </w:tcPr>
          <w:p>
            <w:pPr>
              <w:spacing w:after="0"/>
              <w:rPr>
                <w:sz w:val="21"/>
                <w:szCs w:val="21"/>
                <w:color w:val="auto"/>
              </w:rPr>
            </w:pPr>
          </w:p>
        </w:tc>
        <w:tc>
          <w:tcPr>
            <w:tcW w:w="560" w:type="dxa"/>
            <w:vAlign w:val="bottom"/>
            <w:tcBorders>
              <w:top w:val="single" w:sz="8" w:color="0563C1"/>
            </w:tcBorders>
          </w:tcPr>
          <w:p>
            <w:pPr>
              <w:spacing w:after="0"/>
              <w:rPr>
                <w:sz w:val="21"/>
                <w:szCs w:val="21"/>
                <w:color w:val="auto"/>
              </w:rPr>
            </w:pPr>
          </w:p>
        </w:tc>
        <w:tc>
          <w:tcPr>
            <w:tcW w:w="8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2640" w:type="dxa"/>
            <w:vAlign w:val="bottom"/>
            <w:shd w:val="clear" w:color="auto" w:fill="0563C1"/>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1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ασκήσουν τη σύμβαση ή τις συμβάσεις δικαιωμάτων προαίρεσης ή να αποκλείσουν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sz w:val="20"/>
          <w:szCs w:val="20"/>
          <w:color w:val="auto"/>
        </w:rPr>
      </w:pPr>
    </w:p>
    <w:p>
      <w:pPr xmlns:w="http://schemas.openxmlformats.org/wordprocessingml/2006/main">
        <w:ind w:left="220" w:right="18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 w:lineRule="exact"/>
        <w:rPr>
          <w:sz w:val="20"/>
          <w:szCs w:val="20"/>
          <w:color w:val="auto"/>
        </w:rPr>
      </w:pPr>
    </w:p>
    <w:p>
      <w:pPr xmlns:w="http://schemas.openxmlformats.org/wordprocessingml/2006/main">
        <w:ind w:left="340"/>
        <w:spacing w:after="0"/>
        <w:tabs>
          <w:tab w:leader="none" w:pos="5400" w:val="left"/>
        </w:tabs>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tab xmlns:w="http://schemas.openxmlformats.org/wordprocessingml/2006/main"/>
      </w:r>
      <w:r>
        <w:rPr xmlns:w="http://schemas.openxmlformats.org/wordprocessingml/2006/main">
          <w:rFonts w:ascii="Calibri" w:cs="Calibri" w:eastAsia="Calibri" w:hAnsi="Calibri"/>
          <w:sz w:val="22"/>
          <w:szCs w:val="22"/>
          <w:color w:val="auto"/>
        </w:rPr>
        <w:t xml:space="preserve">ΗΠΑ</w:t>
      </w:r>
      <w:r>
        <w:rPr xmlns:w="http://schemas.openxmlformats.org/wordprocessingml/2006/main">
          <w:rFonts w:ascii="Calibri" w:cs="Calibri" w:eastAsia="Calibri" w:hAnsi="Calibri"/>
          <w:sz w:val="22"/>
          <w:szCs w:val="22"/>
          <w:color w:val="auto"/>
        </w:rPr>
        <w:t xml:space="preserve"> Επιτροπή Κεφαλαιαγοράς</w:t>
      </w:r>
    </w:p>
    <w:p>
      <w:pPr xmlns:w="http://schemas.openxmlformats.org/wordprocessingml/2006/main">
        <w:ind w:left="380"/>
        <w:spacing w:after="0"/>
        <w:tabs>
          <w:tab w:leader="none" w:pos="5400" w:val="left"/>
        </w:tabs>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tab xmlns:w="http://schemas.openxmlformats.org/wordprocessingml/2006/main"/>
      </w: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p>
      <w:pPr xmlns:w="http://schemas.openxmlformats.org/wordprocessingml/2006/main">
        <w:ind w:left="380"/>
        <w:spacing w:after="0"/>
        <w:tabs>
          <w:tab w:leader="none" w:pos="540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1"/>
          <w:szCs w:val="21"/>
          <w:color w:val="auto"/>
        </w:rPr>
        <w:t xml:space="preserve">100 F Street, N.E.</w:t>
      </w:r>
    </w:p>
    <w:p>
      <w:pPr xmlns:w="http://schemas.openxmlformats.org/wordprocessingml/2006/main">
        <w:ind w:left="380"/>
        <w:spacing w:after="0"/>
        <w:tabs>
          <w:tab w:leader="none" w:pos="5400" w:val="left"/>
        </w:tabs>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386- 4357 Φαξ:</w:t>
      </w:r>
      <w:r>
        <w:rPr xmlns:w="http://schemas.openxmlformats.org/wordprocessingml/2006/main">
          <w:rFonts w:ascii="Calibri" w:cs="Calibri" w:eastAsia="Calibri" w:hAnsi="Calibri"/>
          <w:sz w:val="22"/>
          <w:szCs w:val="22"/>
          <w:color w:val="auto"/>
        </w:rPr>
        <w:t xml:space="preserve"> (86) 397-3290</w:t>
        <w:tab xmlns:w="http://schemas.openxmlformats.org/wordprocessingml/2006/main"/>
      </w:r>
      <w:r>
        <w:rPr xmlns:w="http://schemas.openxmlformats.org/wordprocessingml/2006/main">
          <w:rFonts w:ascii="Calibri" w:cs="Calibri" w:eastAsia="Calibri" w:hAnsi="Calibri"/>
          <w:sz w:val="21"/>
          <w:szCs w:val="21"/>
          <w:color w:val="auto"/>
        </w:rPr>
        <w:t xml:space="preserve">Ουάσινγκτον, DC 20549-0213 Φαξ:</w:t>
      </w:r>
      <w:r>
        <w:rPr xmlns:w="http://schemas.openxmlformats.org/wordprocessingml/2006/main">
          <w:rFonts w:ascii="Calibri" w:cs="Calibri" w:eastAsia="Calibri" w:hAnsi="Calibri"/>
          <w:sz w:val="21"/>
          <w:szCs w:val="21"/>
          <w:color w:val="auto"/>
        </w:rPr>
        <w:t xml:space="preserve">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73660</wp:posOffset>
                </wp:positionH>
                <wp:positionV relativeFrom="paragraph">
                  <wp:posOffset>16510</wp:posOffset>
                </wp:positionV>
                <wp:extent cx="684784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1.3pt" to="545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900"/>
      </w:cols>
      <w:pgMar w:left="860" w:top="774" w:right="480" w:bottom="552"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97161CC"/>
    <w:multiLevelType w:val="hybridMultilevel"/>
    <w:lvl w:ilvl="0">
      <w:lvlJc w:val="left"/>
      <w:lvlText w:val="·"/>
      <w:numFmt w:val="bullet"/>
      <w:start w:val="1"/>
    </w:lvl>
  </w:abstractNum>
  <w:abstractNum w:abstractNumId="1">
    <w:nsid w:val="72F0A91D"/>
    <w:multiLevelType w:val="hybridMultilevel"/>
    <w:lvl w:ilvl="0">
      <w:lvlJc w:val="left"/>
      <w:lvlText w:val="·"/>
      <w:numFmt w:val="bullet"/>
      <w:start w:val="1"/>
    </w:lvl>
  </w:abstractNum>
  <w:abstractNum w:abstractNumId="2">
    <w:nsid w:val="3ADBD8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2024-05-20T14:36:09Z</dcterms:created>
  <dcterms:modified xsi:type="dcterms:W3CDTF">2024-05-20T14:36:09Z</dcterms:modified>
</cp:coreProperties>
</file>