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Μετοχές Global Water ΟΣΕΚΑ ETF</w:t>
            </w:r>
          </w:p>
        </w:tc>
        <w:tc>
          <w:tcPr>
            <w:tcW w:w="2880" w:type="dxa"/>
            <w:vAlign w:val="bottom"/>
          </w:tcPr>
          <w:p>
            <w:pPr xmlns:w="http://schemas.openxmlformats.org/wordprocessingml/2006/main">
              <w:ind w:left="800"/>
              <w:spacing w:after="0"/>
              <w:rPr>
                <w:sz w:val="20"/>
                <w:szCs w:val="20"/>
                <w:color w:val="auto"/>
              </w:rPr>
            </w:pPr>
            <w:r>
              <w:rPr xmlns:w="http://schemas.openxmlformats.org/wordprocessingml/2006/main">
                <w:rFonts w:ascii="Arial" w:cs="Arial" w:eastAsia="Arial" w:hAnsi="Arial"/>
                <w:sz w:val="22"/>
                <w:szCs w:val="22"/>
                <w:color w:val="auto"/>
                <w:w w:val="89"/>
              </w:rPr>
              <w:t xml:space="preserve">Κλάση μετοχών USD (Dist)</w:t>
            </w:r>
          </w:p>
        </w:tc>
        <w:tc>
          <w:tcPr>
            <w:tcW w:w="2120" w:type="dxa"/>
            <w:vAlign w:val="bottom"/>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54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II plc</w:t>
            </w:r>
          </w:p>
        </w:tc>
        <w:tc>
          <w:tcPr>
            <w:tcW w:w="2880" w:type="dxa"/>
            <w:vAlign w:val="bottom"/>
          </w:tcPr>
          <w:p>
            <w:pPr xmlns:w="http://schemas.openxmlformats.org/wordprocessingml/2006/main">
              <w:ind w:left="80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IE00B1TXK627</w:t>
            </w:r>
          </w:p>
        </w:tc>
        <w:tc>
          <w:tcPr>
            <w:tcW w:w="21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40" w:type="dxa"/>
            <w:vAlign w:val="bottom"/>
            <w:vMerge w:val="continue"/>
          </w:tcPr>
          <w:p>
            <w:pPr>
              <w:spacing w:after="0"/>
              <w:rPr>
                <w:sz w:val="9"/>
                <w:szCs w:val="9"/>
                <w:color w:val="auto"/>
              </w:rPr>
            </w:pPr>
          </w:p>
        </w:tc>
        <w:tc>
          <w:tcPr>
            <w:tcW w:w="2880" w:type="dxa"/>
            <w:vAlign w:val="bottom"/>
          </w:tcPr>
          <w:p>
            <w:pPr>
              <w:spacing w:after="0"/>
              <w:rPr>
                <w:sz w:val="9"/>
                <w:szCs w:val="9"/>
                <w:color w:val="auto"/>
              </w:rPr>
            </w:pPr>
          </w:p>
        </w:tc>
        <w:tc>
          <w:tcPr>
            <w:tcW w:w="212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S&amp;P Global Water Index,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στοχεύει να επενδύσει, στο μέτρο του δυνατού και εφικτού,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ind w:left="140" w:right="4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τις επιδόσεις των εισηγμένων εταιρειών στον παγκόσμιο κλάδο του νερού, τόσο από τις ανεπτυγμένες όσο και από τις αναδυόμενες αγορές που πληρούν τα κριτήρια επιλεξιμότητας του παρόχου του δείκτη και δεν αποκλείονται από τα περιβαλλοντικά, κοινωνικά και διαχειριστικά κριτήρια αποκλεισμού του παρόχου του δείκτη.</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εταιρείες θεωρείται ότι συμπεριλαμβάνονται στον δείκτη με βάση την ταξινόμηση του κλάδου τους ως επιχείρηση που συνδέεται με το νερό ή αν ανήκουν στην υποβιομηχανία «Υπηρεσίες Ύδρευσης», όπως ορίζεται από το παγκόσμιο βιομηχανικό πρότυπο ταξινόμησης (GICS).</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Στη συνέχεια, οι εταιρείες επιλέγονται για να συμπεριληφθούν στο Δείκτη με βάση τη βαθμολογία έκθεσής τους στην επιχείρηση ύδρευσης, όπως καθορίζεται από τον πάροχο του δείκτη, λαμβάνοντας υπόψη την περιγραφή της επιχείρησης και τα έσοδα που σχετίζονται με την επιχείρηση ύδρευσης.</w:t>
      </w:r>
      <w:r>
        <w:rPr xmlns:w="http://schemas.openxmlformats.org/wordprocessingml/2006/main">
          <w:rFonts w:ascii="Arial" w:cs="Arial" w:eastAsia="Arial" w:hAnsi="Arial"/>
          <w:sz w:val="16"/>
          <w:szCs w:val="16"/>
          <w:color w:val="auto"/>
        </w:rPr>
        <w:t xml:space="preserve"> Ο δείκτης καλύπτει τους συντελεστές στάθμισης των επιμέρους συστατικών στοιχείων, λαμβάνοντας υπόψη την έκθεση των επιχειρήσεων ύδρευσης και τη βαθμολογία ρευστότητας των στοιχείων, όπως καθορίζεται σύμφωνα με τη μεθοδολογία του δείκτη.</w:t>
      </w:r>
    </w:p>
    <w:p>
      <w:pPr>
        <w:spacing w:after="0" w:line="28" w:lineRule="exact"/>
        <w:rPr>
          <w:sz w:val="24"/>
          <w:szCs w:val="24"/>
          <w:color w:val="auto"/>
        </w:rPr>
      </w:pPr>
    </w:p>
    <w:p>
      <w:pPr xmlns:w="http://schemas.openxmlformats.org/wordprocessingml/2006/main">
        <w:ind w:left="140" w:right="1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εταιρείες μπορούν να εξαιρεθούν από το Δείκτη αν εμπλέκονται σε αμφιλεγόμενα όπλα, φορητά όπλα, στρατιωτικές συμβάσεις, καπνό, θερμικό άνθρακα, πετρελαιοκηλίδα, σχιστή ενέργεια, εξερεύνηση πετρελαίου και φυσικού αερίου της Αρκτικής.</w:t>
      </w:r>
      <w:r>
        <w:rPr xmlns:w="http://schemas.openxmlformats.org/wordprocessingml/2006/main">
          <w:rFonts w:ascii="Arial" w:cs="Arial" w:eastAsia="Arial" w:hAnsi="Arial"/>
          <w:sz w:val="16"/>
          <w:szCs w:val="16"/>
          <w:color w:val="auto"/>
        </w:rPr>
        <w:t xml:space="preserve"> Εξαιρούνται επίσης οι εταιρείες που έχουν ταξινομηθεί ως παραβιάζουσες τις αρχές του Παγκόσμιου Συμφώνου των Ηνωμένων Εθνών ή έχουν αξιολογηθεί από τις αρχές ESG του φορέα παροχής του δείκτη (οι οποίες μετρούν τη συμμετοχή μιας εταιρείας σε σοβαρές διαφωνίες ESG, ή την έκθεση σε κινδύνους ESG και τη διαχείριση αυτών, ή συνδυασμό των αξιολογήσεων κινδύνου ESG μιας εταιρείας και των αξιολογήσεων αμφισβήτησης).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να εξασφαλίσει περιορισμένη έκθεση σε τίτλους που δεν πληρούν τα εν λόγω κριτήρια ΠΚΔ.</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διανέμουν μετοχές (δηλαδή το εισόδημα θα καταβάλλεται επί των μετοχών εξαμηνιαία).</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0" w:hanging="153"/>
        <w:spacing w:after="0" w:line="208" w:lineRule="auto"/>
        <w:tabs>
          <w:tab w:leader="none" w:pos="30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40" w:hanging="159"/>
        <w:spacing w:after="0" w:line="193" w:lineRule="auto"/>
        <w:tabs>
          <w:tab w:leader="none" w:pos="160" w:val="left"/>
        </w:tabs>
        <w:numPr>
          <w:ilvl w:val="0"/>
          <w:numId w:val="2"/>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Οι επενδύσεις στη βιομηχανία ύδατος υπόκεινται σε περιβαλλοντικές ανησυχίες ή ανησυχίες βιωσιμότητας, σε φόρους, κυβερνητικούς κανονισμούς, διακυμάνσεις των τιμών και της προσφοράς.</w:t>
      </w:r>
    </w:p>
    <w:p>
      <w:pPr>
        <w:spacing w:after="0" w:line="30" w:lineRule="exact"/>
        <w:rPr>
          <w:rFonts w:ascii="Arial" w:cs="Arial" w:eastAsia="Arial" w:hAnsi="Arial"/>
          <w:sz w:val="40"/>
          <w:szCs w:val="40"/>
          <w:color w:val="auto"/>
          <w:vertAlign w:val="subscript"/>
        </w:rPr>
      </w:pPr>
    </w:p>
    <w:p>
      <w:pPr xmlns:w="http://schemas.openxmlformats.org/wordprocessingml/2006/main">
        <w:ind w:left="160" w:hanging="159"/>
        <w:spacing w:after="0" w:line="27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 δείκτης αναφοράς αποκλείει μόνο εταιρείες που ασκούν ορισμένες δραστηριότητες που δεν συνάδουν με τα κριτήρια ΠΚΔ, εφόσον οι δραστηριότητες αυτές υπερβαίνουν τα όρια που καθορίζει ο πάροχος του δείκτη.</w:t>
      </w:r>
      <w:r>
        <w:rPr xmlns:w="http://schemas.openxmlformats.org/wordprocessingml/2006/main">
          <w:rFonts w:ascii="Arial" w:cs="Arial" w:eastAsia="Arial" w:hAnsi="Arial"/>
          <w:sz w:val="14"/>
          <w:szCs w:val="14"/>
          <w:color w:val="auto"/>
        </w:rPr>
        <w:t xml:space="preserve"> Ως εκ τούτου, οι επενδυτές θα πρέπει να προβαίνουν σε προσωπική δεοντολογική αξιολόγηση του ελέγχου ΠΚΔ του δείκτη αναφοράς πριν από την επένδυση στο Ταμείο.</w:t>
      </w:r>
      <w:r>
        <w:rPr xmlns:w="http://schemas.openxmlformats.org/wordprocessingml/2006/main">
          <w:rFonts w:ascii="Arial" w:cs="Arial" w:eastAsia="Arial" w:hAnsi="Arial"/>
          <w:sz w:val="14"/>
          <w:szCs w:val="14"/>
          <w:color w:val="auto"/>
        </w:rPr>
        <w:t xml:space="preserve"> Ένας τέτοιος έλεγχος ΠΚΔ μπορεί να επηρεάσει</w:t>
      </w:r>
    </w:p>
    <w:p>
      <w:pPr>
        <w:spacing w:after="0" w:line="8"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 σε σύγκριση με ένα ταμείο χωρίς τέτοιο έλεγχο.</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0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0,65%**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2007.</w:t>
      </w:r>
      <w:r>
        <w:rPr xmlns:w="http://schemas.openxmlformats.org/wordprocessingml/2006/main">
          <w:rFonts w:ascii="Arial" w:cs="Arial" w:eastAsia="Arial" w:hAnsi="Arial"/>
          <w:sz w:val="15"/>
          <w:szCs w:val="15"/>
          <w:color w:val="auto"/>
        </w:rPr>
        <w:t xml:space="preserve"> Η Share Class ξεκίνησε το 2007.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Benchmark:S&amp;P Global Water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14,1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-21,5</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14,8</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iShares II plc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υποκεφαλαίων στο πλαίσιο της iShares II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5">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C681371"/>
    <w:multiLevelType w:val="hybridMultilevel"/>
    <w:lvl w:ilvl="0">
      <w:lvlJc w:val="left"/>
      <w:lvlText w:val="-"/>
      <w:numFmt w:val="bullet"/>
      <w:start w:val="1"/>
    </w:lvl>
  </w:abstractNum>
  <w:abstractNum w:abstractNumId="1">
    <w:nsid w:val="5F3280AB"/>
    <w:multiLevelType w:val="hybridMultilevel"/>
    <w:lvl w:ilvl="0">
      <w:lvlJc w:val="left"/>
      <w:lvlText w:val="-"/>
      <w:numFmt w:val="bullet"/>
      <w:start w:val="1"/>
    </w:lvl>
  </w:abstractNum>
  <w:abstractNum w:abstractNumId="2">
    <w:nsid w:val="5202E644"/>
    <w:multiLevelType w:val="hybridMultilevel"/>
    <w:lvl w:ilvl="0">
      <w:lvlJc w:val="left"/>
      <w:lvlText w:val="-"/>
      <w:numFmt w:val="bullet"/>
      <w:start w:val="1"/>
    </w:lvl>
  </w:abstractNum>
  <w:abstractNum w:abstractNumId="3">
    <w:nsid w:val="96A81C6"/>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jpe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png"/><Relationship Id="rId54" Type="http://schemas.openxmlformats.org/officeDocument/2006/relationships/image" Target="media/image43.png"/><Relationship Id="rId55" Type="http://schemas.openxmlformats.org/officeDocument/2006/relationships/image" Target="media/image44.jpeg"/><Relationship Id="rId56" Type="http://schemas.openxmlformats.org/officeDocument/2006/relationships/image" Target="media/image4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2024-05-20T15:34:44Z</dcterms:created>
  <dcterms:modified xsi:type="dcterms:W3CDTF">2024-05-20T15:34:44Z</dcterms:modified>
</cp:coreProperties>
</file>