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8089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808990"/>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3"/>
              </w:rPr>
              <w:t xml:space="preserve">iShares S&amp;P 500 Consumer Staples Sector</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0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ΟΣΕΚΑ ETF</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IE00B40B8R38</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84"/>
        </w:trPr>
        <w:tc>
          <w:tcPr>
            <w:tcW w:w="5080" w:type="dxa"/>
            <w:vAlign w:val="bottom"/>
            <w:vMerge w:val="continue"/>
          </w:tcPr>
          <w:p>
            <w:pPr>
              <w:spacing w:after="0"/>
              <w:rPr>
                <w:sz w:val="16"/>
                <w:szCs w:val="16"/>
                <w:color w:val="auto"/>
              </w:rPr>
            </w:pPr>
          </w:p>
        </w:tc>
        <w:tc>
          <w:tcPr>
            <w:tcW w:w="4440" w:type="dxa"/>
            <w:vAlign w:val="bottom"/>
            <w:gridSpan w:val="2"/>
            <w:vMerge w:val="restart"/>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w w:val="92"/>
              </w:rPr>
              <w:t xml:space="preserve">Διαχειριστής:</w:t>
            </w:r>
            <w:r>
              <w:rPr xmlns:w="http://schemas.openxmlformats.org/wordprocessingml/2006/main">
                <w:rFonts w:ascii="Arial" w:cs="Arial" w:eastAsia="Arial" w:hAnsi="Arial"/>
                <w:sz w:val="18"/>
                <w:szCs w:val="18"/>
                <w:color w:val="auto"/>
                <w:w w:val="92"/>
              </w:rPr>
              <w:t xml:space="preserve"> BlackRock Asset Management Ireland Limited</w:t>
            </w:r>
          </w:p>
        </w:tc>
        <w:tc>
          <w:tcPr>
            <w:tcW w:w="0" w:type="dxa"/>
            <w:vAlign w:val="bottom"/>
          </w:tcPr>
          <w:p>
            <w:pPr>
              <w:spacing w:after="0"/>
              <w:rPr>
                <w:sz w:val="1"/>
                <w:szCs w:val="1"/>
                <w:color w:val="auto"/>
              </w:rPr>
            </w:pPr>
          </w:p>
        </w:tc>
      </w:tr>
      <w:tr>
        <w:trPr>
          <w:trHeight w:val="105"/>
        </w:trPr>
        <w:tc>
          <w:tcPr>
            <w:tcW w:w="5080" w:type="dxa"/>
            <w:vAlign w:val="bottom"/>
          </w:tcPr>
          <w:p>
            <w:pPr>
              <w:spacing w:after="0"/>
              <w:rPr>
                <w:sz w:val="9"/>
                <w:szCs w:val="9"/>
                <w:color w:val="auto"/>
              </w:rPr>
            </w:pPr>
          </w:p>
        </w:tc>
        <w:tc>
          <w:tcPr>
            <w:tcW w:w="444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 plc</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(δείκτης αναφοράς) του Ταμείου (δείκτης) S&amp;P 500 Capped 35/20 Consumer Staples Index.</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αποσκοπεί στην επένδυση σε μετοχικούς τίτλους (π.χ. μετοχές) που, στο μέτρο του δυνατού και του εφικτού, αποτελούν τον Δείκτη.</w:t>
      </w:r>
    </w:p>
    <w:p>
      <w:pPr>
        <w:spacing w:after="0" w:line="71"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αποθεμάτων από τον δείκτη S&amp;P 500, τα οποία εμπίπτουν στον τομέα των καταναλωτικών συρραπτικών προϊόντων του Παγκόσμιου Βιομηχανικού Προτύπου (GICS).</w:t>
      </w:r>
      <w:r>
        <w:rPr xmlns:w="http://schemas.openxmlformats.org/wordprocessingml/2006/main">
          <w:rFonts w:ascii="Arial" w:cs="Arial" w:eastAsia="Arial" w:hAnsi="Arial"/>
          <w:sz w:val="16"/>
          <w:szCs w:val="16"/>
          <w:color w:val="auto"/>
        </w:rPr>
        <w:t xml:space="preserve"> Το S&amp;P 500 μετρά την απόδοση 500 αποθεμάτων από κορυφαίες εταιρείες των ΗΠΑ σε κορυφαίες βιομηχανίες της αμερικανικής οικονομίας που πληρούν τα κριτήρια μεγέθους, ρευστότητας και ελεύθερης διασποράς της S&amp;P.</w:t>
      </w:r>
      <w:r>
        <w:rPr xmlns:w="http://schemas.openxmlformats.org/wordprocessingml/2006/main">
          <w:rFonts w:ascii="Arial" w:cs="Arial" w:eastAsia="Arial" w:hAnsi="Arial"/>
          <w:sz w:val="16"/>
          <w:szCs w:val="16"/>
          <w:color w:val="auto"/>
        </w:rPr>
        <w:t xml:space="preserve"> Ο τομέας των βασικών καταναλωτικών προϊόντων GICS περιλαμβάνει σήμερα εταιρείες οι οποίες είναι λιγότερο ευαίσθητες στους οικονομικούς κύκλους.</w:t>
      </w:r>
      <w:r>
        <w:rPr xmlns:w="http://schemas.openxmlformats.org/wordprocessingml/2006/main">
          <w:rFonts w:ascii="Arial" w:cs="Arial" w:eastAsia="Arial" w:hAnsi="Arial"/>
          <w:sz w:val="16"/>
          <w:szCs w:val="16"/>
          <w:color w:val="auto"/>
        </w:rPr>
        <w:t xml:space="preserve"> Περιλαμβάνει κατασκευαστές και διανομείς τροφίμων, ποτών και καπνού και παραγωγούς μη ανθεκτικών οικιακών αγαθών και προσωπικών προϊόντων.</w:t>
      </w:r>
      <w:r>
        <w:rPr xmlns:w="http://schemas.openxmlformats.org/wordprocessingml/2006/main">
          <w:rFonts w:ascii="Arial" w:cs="Arial" w:eastAsia="Arial" w:hAnsi="Arial"/>
          <w:sz w:val="16"/>
          <w:szCs w:val="16"/>
          <w:color w:val="auto"/>
        </w:rPr>
        <w:t xml:space="preserve"> Περιλαμβάνει επίσης εταιρείες λιανικής πώλησης τροφίμων και φαρμάκων, καθώς και υπεραγορές και σούπερ κέντρα καταναλωτών.</w:t>
      </w:r>
      <w:r>
        <w:rPr xmlns:w="http://schemas.openxmlformats.org/wordprocessingml/2006/main">
          <w:rFonts w:ascii="Arial" w:cs="Arial" w:eastAsia="Arial" w:hAnsi="Arial"/>
          <w:sz w:val="16"/>
          <w:szCs w:val="16"/>
          <w:color w:val="auto"/>
        </w:rPr>
        <w:t xml:space="preserve"> Ο δείκτης δεν μπορεί να περιλαμβάνει ή/και δεν μπορεί να περιορίζεται σε κάθε κατηγορία που περιλαμβάνει τον τομέα που αναφέρεται εδώ.</w:t>
      </w:r>
      <w:r>
        <w:rPr xmlns:w="http://schemas.openxmlformats.org/wordprocessingml/2006/main">
          <w:rFonts w:ascii="Arial" w:cs="Arial" w:eastAsia="Arial" w:hAnsi="Arial"/>
          <w:sz w:val="16"/>
          <w:szCs w:val="16"/>
          <w:color w:val="auto"/>
        </w:rPr>
        <w:t xml:space="preserve"> Οι εταιρείες περιλαμβάνονται στον δείκτη αναφοράς σε σταθμισμένη βάση ελεύθερης χρηματιστηριακής αξίας προσαρμοσμένη στην κινητή αξία.</w:t>
      </w:r>
      <w:r>
        <w:rPr xmlns:w="http://schemas.openxmlformats.org/wordprocessingml/2006/main">
          <w:rFonts w:ascii="Arial" w:cs="Arial" w:eastAsia="Arial" w:hAnsi="Arial"/>
          <w:sz w:val="16"/>
          <w:szCs w:val="16"/>
          <w:color w:val="auto"/>
        </w:rPr>
        <w:t xml:space="preserve"> Η προσαρμογή βάσει της ελεύθερης διασποράς σημαίνει ότι για τον υπολογισμό του Δείκτη χρησιμοποιούνται μόνο μετοχές που είναι διαθέσιμες στους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ελεύθερη χρηματιστηριακή αξία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Ο δείκτης επισφραγίζει το βάρος των μεγαλύτερων εταιρειών σε κάθε επανεξισορρόπηση για να εξασφαλίσει τη διαφοροποίηση του δείκτη.</w:t>
      </w:r>
      <w:r>
        <w:rPr xmlns:w="http://schemas.openxmlformats.org/wordprocessingml/2006/main">
          <w:rFonts w:ascii="Arial" w:cs="Arial" w:eastAsia="Arial" w:hAnsi="Arial"/>
          <w:sz w:val="16"/>
          <w:szCs w:val="16"/>
          <w:color w:val="auto"/>
        </w:rPr>
        <w:t xml:space="preserve"> Ο συντελεστής στάθμισης της μεγαλύτερης οντότητας του ομίλου στον δείκτη περιορίζεται στο 33% και οι υπόλοιπες οντότητες του ομίλου στο 19%.</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2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702"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2017.</w:t>
      </w:r>
      <w:r>
        <w:rPr xmlns:w="http://schemas.openxmlformats.org/wordprocessingml/2006/main">
          <w:rFonts w:ascii="Arial" w:cs="Arial" w:eastAsia="Arial" w:hAnsi="Arial"/>
          <w:sz w:val="15"/>
          <w:szCs w:val="15"/>
          <w:color w:val="auto"/>
        </w:rPr>
        <w:t xml:space="preserve"> Η Share Class ξεκίνησε το 2017.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22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αναφοράς:S&amp;P 500 Capped 35/20 Consumer Staples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116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-8,9</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26,9</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10,2</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-9,2</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26,5</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9,8</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17,7</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-1,4</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V plc μπορεί να θεωρηθεί υπεύθυνη μόνο βάσει παραπλανητικής, ανακριβούς ή ασυμβατής με τα σχετικά μέρη δήλωσης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επιμέρους κεφαλαίων εντός της iShares V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31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1C66D"/>
    <w:multiLevelType w:val="hybridMultilevel"/>
    <w:lvl w:ilvl="0">
      <w:lvlJc w:val="left"/>
      <w:lvlText w:val="-"/>
      <w:numFmt w:val="bullet"/>
      <w:start w:val="1"/>
    </w:lvl>
  </w:abstractNum>
  <w:abstractNum w:abstractNumId="1">
    <w:nsid w:val="3D4D9D08"/>
    <w:multiLevelType w:val="hybridMultilevel"/>
    <w:lvl w:ilvl="0">
      <w:lvlJc w:val="left"/>
      <w:lvlText w:val="-"/>
      <w:numFmt w:val="bullet"/>
      <w:start w:val="1"/>
    </w:lvl>
  </w:abstractNum>
  <w:abstractNum w:abstractNumId="2">
    <w:nsid w:val="372F7B6F"/>
    <w:multiLevelType w:val="hybridMultilevel"/>
    <w:lvl w:ilvl="0">
      <w:lvlJc w:val="left"/>
      <w:lvlText w:val="**"/>
      <w:numFmt w:val="bullet"/>
      <w:start w:val="1"/>
    </w:lvl>
  </w:abstractNum>
  <w:abstractNum w:abstractNumId="3">
    <w:nsid w:val="3758B48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2024-05-20T14:18:35Z</dcterms:created>
  <dcterms:modified xsi:type="dcterms:W3CDTF">2024-05-20T14:18:35Z</dcterms:modified>
</cp:coreProperties>
</file>